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B47E" w14:textId="182BDEB0" w:rsidR="00CE5638" w:rsidRPr="00625709" w:rsidRDefault="00603A11">
      <w:pPr>
        <w:pStyle w:val="normal1"/>
        <w:spacing w:line="360" w:lineRule="auto"/>
        <w:rPr>
          <w:rFonts w:ascii="Arial" w:eastAsia="Arial" w:hAnsi="Arial" w:cs="Arial"/>
          <w:b/>
        </w:rPr>
      </w:pPr>
      <w:r w:rsidRPr="00625709">
        <w:rPr>
          <w:rFonts w:ascii="Arial" w:eastAsia="Arial" w:hAnsi="Arial" w:cs="Arial"/>
          <w:b/>
        </w:rPr>
        <w:t xml:space="preserve">Normativa </w:t>
      </w:r>
    </w:p>
    <w:p w14:paraId="2CDD4070" w14:textId="383E85FB" w:rsidR="00CE5638" w:rsidRPr="00625709" w:rsidRDefault="00625709">
      <w:pPr>
        <w:pStyle w:val="normal1"/>
        <w:spacing w:after="169" w:line="360" w:lineRule="auto"/>
        <w:rPr>
          <w:rFonts w:ascii="Arial" w:eastAsia="Arial" w:hAnsi="Arial" w:cs="Arial"/>
          <w:color w:val="000000"/>
        </w:rPr>
      </w:pPr>
      <w:r w:rsidRPr="00625709">
        <w:rPr>
          <w:rFonts w:ascii="Arial" w:eastAsia="Arial" w:hAnsi="Arial" w:cs="Arial"/>
          <w:b/>
          <w:bCs/>
          <w:color w:val="000000"/>
        </w:rPr>
        <w:t xml:space="preserve">Última </w:t>
      </w:r>
      <w:r w:rsidR="00603A11" w:rsidRPr="00625709">
        <w:rPr>
          <w:rFonts w:ascii="Arial" w:eastAsia="Arial" w:hAnsi="Arial" w:cs="Arial"/>
          <w:b/>
          <w:bCs/>
          <w:color w:val="000000"/>
        </w:rPr>
        <w:t>actualización:</w:t>
      </w:r>
      <w:r w:rsidR="00603A11" w:rsidRPr="00625709">
        <w:rPr>
          <w:rFonts w:ascii="Arial" w:eastAsia="Arial" w:hAnsi="Arial" w:cs="Arial"/>
          <w:color w:val="000000"/>
        </w:rPr>
        <w:t xml:space="preserve"> </w:t>
      </w:r>
      <w:r w:rsidR="00722C5A">
        <w:rPr>
          <w:rFonts w:ascii="Arial" w:eastAsia="Arial" w:hAnsi="Arial" w:cs="Arial"/>
          <w:color w:val="000000"/>
        </w:rPr>
        <w:t>20</w:t>
      </w:r>
      <w:r w:rsidR="00603A11" w:rsidRPr="00625709">
        <w:rPr>
          <w:rFonts w:ascii="Arial" w:eastAsia="Arial" w:hAnsi="Arial" w:cs="Arial"/>
          <w:color w:val="000000"/>
        </w:rPr>
        <w:t>/04/202</w:t>
      </w:r>
      <w:r w:rsidR="00722C5A">
        <w:rPr>
          <w:rFonts w:ascii="Arial" w:eastAsia="Arial" w:hAnsi="Arial" w:cs="Arial"/>
          <w:color w:val="000000"/>
        </w:rPr>
        <w:t>6</w:t>
      </w:r>
    </w:p>
    <w:p w14:paraId="3EFDCF32" w14:textId="77777777" w:rsidR="00CE5638" w:rsidRPr="00625709" w:rsidRDefault="00603A11">
      <w:pPr>
        <w:pStyle w:val="normal1"/>
        <w:numPr>
          <w:ilvl w:val="1"/>
          <w:numId w:val="5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8">
        <w:r w:rsidRPr="00625709">
          <w:rPr>
            <w:rFonts w:ascii="Arial" w:eastAsia="Arial" w:hAnsi="Arial" w:cs="Arial"/>
            <w:color w:val="0000FF"/>
          </w:rPr>
          <w:t>Constitución Española</w:t>
        </w:r>
      </w:hyperlink>
      <w:hyperlink r:id="rId9">
        <w:r w:rsidRPr="00625709">
          <w:rPr>
            <w:rFonts w:ascii="Arial" w:eastAsia="Arial" w:hAnsi="Arial" w:cs="Arial"/>
            <w:color w:val="000000"/>
          </w:rPr>
          <w:t>.</w:t>
        </w:r>
      </w:hyperlink>
      <w:r w:rsidRPr="00625709">
        <w:rPr>
          <w:rFonts w:ascii="Arial" w:eastAsia="Arial" w:hAnsi="Arial" w:cs="Arial"/>
          <w:color w:val="000000"/>
        </w:rPr>
        <w:t>[Inclusión parcial]</w:t>
      </w:r>
    </w:p>
    <w:p w14:paraId="2A028815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RÉGIMEN JURÍDICO GENERAL</w:t>
      </w:r>
    </w:p>
    <w:p w14:paraId="3E2B5C14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0">
        <w:r w:rsidRPr="00625709">
          <w:rPr>
            <w:rFonts w:ascii="Arial" w:eastAsia="Arial" w:hAnsi="Arial" w:cs="Arial"/>
            <w:color w:val="0000FF"/>
          </w:rPr>
          <w:t>Ley 2/1974, de 13 de febrero, sobre Colegios Profesionales</w:t>
        </w:r>
      </w:hyperlink>
    </w:p>
    <w:p w14:paraId="20784BED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1">
        <w:r w:rsidRPr="00625709">
          <w:rPr>
            <w:rFonts w:ascii="Arial" w:eastAsia="Arial" w:hAnsi="Arial" w:cs="Arial"/>
            <w:color w:val="0000FF"/>
          </w:rPr>
          <w:t>Ley 17/2009, de 23 de noviembre, sobre el libre acceso a las actividades de servicios y su ejercicio</w:t>
        </w:r>
      </w:hyperlink>
    </w:p>
    <w:p w14:paraId="420582B6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2">
        <w:r w:rsidRPr="00625709">
          <w:rPr>
            <w:rFonts w:ascii="Arial" w:hAnsi="Arial" w:cs="Arial"/>
            <w:color w:val="0000FF"/>
            <w:u w:val="single"/>
          </w:rPr>
          <w:t>Ley 12/1983, de 14 de octubre, del Proceso Autonómico.</w:t>
        </w:r>
      </w:hyperlink>
      <w:r w:rsidRPr="00625709">
        <w:rPr>
          <w:rFonts w:ascii="Arial" w:eastAsia="Arial" w:hAnsi="Arial" w:cs="Arial"/>
          <w:color w:val="0000FF"/>
        </w:rPr>
        <w:t xml:space="preserve"> [Inclusión parcial]</w:t>
      </w:r>
    </w:p>
    <w:p w14:paraId="6874621F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3">
        <w:r w:rsidRPr="00625709">
          <w:rPr>
            <w:rFonts w:ascii="Arial" w:eastAsia="Arial" w:hAnsi="Arial" w:cs="Arial"/>
            <w:color w:val="0000FF"/>
          </w:rPr>
          <w:t>Ley Orgánica 1/2018, de 5 de noviembre, de reforma del Estatuto de Autonomía de Canarias</w:t>
        </w:r>
      </w:hyperlink>
    </w:p>
    <w:p w14:paraId="53E52F94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4">
        <w:r w:rsidRPr="00625709">
          <w:rPr>
            <w:rFonts w:ascii="Arial" w:eastAsia="Arial" w:hAnsi="Arial" w:cs="Arial"/>
            <w:color w:val="0000FF"/>
          </w:rPr>
          <w:t>Ley 19/2013, de 9 de diciembre, de transparencia, acceso a la información pública y buen gobierno</w:t>
        </w:r>
      </w:hyperlink>
    </w:p>
    <w:p w14:paraId="1A5F2552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5">
        <w:r w:rsidRPr="00625709">
          <w:rPr>
            <w:rFonts w:ascii="Arial" w:eastAsia="Arial" w:hAnsi="Arial" w:cs="Arial"/>
            <w:color w:val="0000FF"/>
          </w:rPr>
          <w:t>Ley 12/2014, de 26 de diciembre, de transparencia y de acceso a la información pública de Canarias</w:t>
        </w:r>
      </w:hyperlink>
    </w:p>
    <w:p w14:paraId="4F278B7C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6">
        <w:r w:rsidRPr="00625709">
          <w:rPr>
            <w:rFonts w:ascii="Arial" w:eastAsia="Arial" w:hAnsi="Arial" w:cs="Arial"/>
            <w:color w:val="0000FF"/>
          </w:rPr>
          <w:t>Ley 10/1990, de 23 de mayo, de Colegios Profesionales de Canarias</w:t>
        </w:r>
      </w:hyperlink>
    </w:p>
    <w:p w14:paraId="3B1F05F0" w14:textId="77777777" w:rsidR="00CE5638" w:rsidRPr="00625709" w:rsidRDefault="00603A11">
      <w:pPr>
        <w:pStyle w:val="normal1"/>
        <w:numPr>
          <w:ilvl w:val="1"/>
          <w:numId w:val="6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7">
        <w:r w:rsidRPr="00625709">
          <w:rPr>
            <w:rFonts w:ascii="Arial" w:eastAsia="Arial" w:hAnsi="Arial" w:cs="Arial"/>
            <w:color w:val="0000FF"/>
          </w:rPr>
          <w:t>Ley 14/1986, de 25 de abril, General de Sanidad</w:t>
        </w:r>
      </w:hyperlink>
    </w:p>
    <w:p w14:paraId="3033A5A0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NORMAS ADMINISTRATIVAS</w:t>
      </w:r>
    </w:p>
    <w:p w14:paraId="4865B202" w14:textId="77777777" w:rsidR="00CE5638" w:rsidRPr="00625709" w:rsidRDefault="00603A11">
      <w:pPr>
        <w:pStyle w:val="normal1"/>
        <w:numPr>
          <w:ilvl w:val="1"/>
          <w:numId w:val="7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color w:val="000000"/>
        </w:rPr>
        <w:t> </w:t>
      </w:r>
      <w:hyperlink r:id="rId18">
        <w:r w:rsidRPr="00625709">
          <w:rPr>
            <w:rFonts w:ascii="Arial" w:eastAsia="Arial" w:hAnsi="Arial" w:cs="Arial"/>
            <w:color w:val="0000FF"/>
          </w:rPr>
          <w:t>Ley 39/2015, de 1 de octubre, del Procedimiento Administrativo Común de las Administraciones Públicas</w:t>
        </w:r>
      </w:hyperlink>
    </w:p>
    <w:p w14:paraId="006ACA20" w14:textId="77777777" w:rsidR="00CE5638" w:rsidRPr="00625709" w:rsidRDefault="00603A11">
      <w:pPr>
        <w:pStyle w:val="normal1"/>
        <w:numPr>
          <w:ilvl w:val="1"/>
          <w:numId w:val="7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19">
        <w:r w:rsidRPr="00625709">
          <w:rPr>
            <w:rFonts w:ascii="Arial" w:eastAsia="Arial" w:hAnsi="Arial" w:cs="Arial"/>
            <w:color w:val="0000FF"/>
          </w:rPr>
          <w:t>Ley 40/2015, de 1 de octubre, de Régimen Jurídico del Sector Público</w:t>
        </w:r>
      </w:hyperlink>
      <w:r w:rsidRPr="00625709">
        <w:rPr>
          <w:rFonts w:ascii="Arial" w:eastAsia="Arial" w:hAnsi="Arial" w:cs="Arial"/>
          <w:color w:val="0000FF"/>
        </w:rPr>
        <w:t>. [Inclusión parcial]</w:t>
      </w:r>
    </w:p>
    <w:p w14:paraId="1BD8E779" w14:textId="77777777" w:rsidR="00CE5638" w:rsidRPr="00625709" w:rsidRDefault="00603A11">
      <w:pPr>
        <w:pStyle w:val="normal1"/>
        <w:numPr>
          <w:ilvl w:val="1"/>
          <w:numId w:val="7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0">
        <w:r w:rsidRPr="00625709">
          <w:rPr>
            <w:rFonts w:ascii="Arial" w:eastAsia="Arial" w:hAnsi="Arial" w:cs="Arial"/>
            <w:color w:val="0000FF"/>
          </w:rPr>
          <w:t>Ley 59/2003, de 19 de diciembre, de firma electrónica</w:t>
        </w:r>
      </w:hyperlink>
    </w:p>
    <w:p w14:paraId="6B34C920" w14:textId="77777777" w:rsidR="00CE5638" w:rsidRPr="00625709" w:rsidRDefault="00CE5638">
      <w:pPr>
        <w:pStyle w:val="normal1"/>
        <w:spacing w:before="169" w:after="169" w:line="360" w:lineRule="auto"/>
        <w:rPr>
          <w:rFonts w:ascii="Arial" w:eastAsia="Arial" w:hAnsi="Arial" w:cs="Arial"/>
          <w:color w:val="999999"/>
        </w:rPr>
      </w:pPr>
    </w:p>
    <w:p w14:paraId="3C4BA6B5" w14:textId="77777777" w:rsidR="00B2661D" w:rsidRPr="00625709" w:rsidRDefault="00B2661D">
      <w:pPr>
        <w:pStyle w:val="normal1"/>
        <w:spacing w:before="169" w:after="169" w:line="360" w:lineRule="auto"/>
        <w:rPr>
          <w:rFonts w:ascii="Arial" w:eastAsia="Arial" w:hAnsi="Arial" w:cs="Arial"/>
          <w:b/>
          <w:color w:val="000000"/>
        </w:rPr>
      </w:pPr>
    </w:p>
    <w:p w14:paraId="6314B07E" w14:textId="1EE7C3B5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lastRenderedPageBreak/>
        <w:t>NORMATIVA SANITARIA</w:t>
      </w:r>
    </w:p>
    <w:p w14:paraId="2BC3CE88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1">
        <w:r w:rsidRPr="00625709">
          <w:rPr>
            <w:rFonts w:ascii="Arial" w:eastAsia="Arial" w:hAnsi="Arial" w:cs="Arial"/>
            <w:color w:val="0000FF"/>
          </w:rPr>
          <w:t>Ley 10/1986, de 17 de marzo, sobre Odontólogos y otros profesionales relacionados con la Salud Dental</w:t>
        </w:r>
      </w:hyperlink>
    </w:p>
    <w:p w14:paraId="11D6FB72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2">
        <w:r w:rsidRPr="00625709">
          <w:rPr>
            <w:rFonts w:ascii="Arial" w:eastAsia="Arial" w:hAnsi="Arial" w:cs="Arial"/>
            <w:color w:val="0000FF"/>
          </w:rPr>
          <w:t>Real Decreto 1594/1994, de 15 de julio, por el que se desarrolla lo previsto en la Ley 10/1986, que regula la profesión de Odontólogo, Protésico e Higienista Dental</w:t>
        </w:r>
      </w:hyperlink>
    </w:p>
    <w:p w14:paraId="7F78F530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3">
        <w:r w:rsidRPr="00625709">
          <w:rPr>
            <w:rFonts w:ascii="Arial" w:eastAsia="Arial" w:hAnsi="Arial" w:cs="Arial"/>
            <w:color w:val="0000FF"/>
          </w:rPr>
          <w:t>Ley 41/2002, de 14 de noviembre, básica reguladora de la autonomía del paciente y de derechos y obligaciones en materia de información y documentación clínica</w:t>
        </w:r>
      </w:hyperlink>
    </w:p>
    <w:p w14:paraId="5E633C27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4">
        <w:r w:rsidRPr="00625709">
          <w:rPr>
            <w:rFonts w:ascii="Arial" w:eastAsia="Arial" w:hAnsi="Arial" w:cs="Arial"/>
            <w:color w:val="0000FF"/>
          </w:rPr>
          <w:t>Ley 44/2003, de 21 de noviembre, de ordenación de las profesiones sanitarias</w:t>
        </w:r>
      </w:hyperlink>
    </w:p>
    <w:p w14:paraId="20079EFA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5">
        <w:r w:rsidRPr="00625709">
          <w:rPr>
            <w:rFonts w:ascii="Arial" w:eastAsia="Arial" w:hAnsi="Arial" w:cs="Arial"/>
            <w:color w:val="0000FF"/>
          </w:rPr>
          <w:t>Real Decreto 1277/2003, de 10 de octubre, por el que se establecen las bases generales sobre autorización de centros, servicios y establecimientos sanitarios</w:t>
        </w:r>
      </w:hyperlink>
      <w:r w:rsidRPr="00625709">
        <w:rPr>
          <w:rFonts w:ascii="Arial" w:eastAsia="Arial" w:hAnsi="Arial" w:cs="Arial"/>
          <w:color w:val="0000FF"/>
        </w:rPr>
        <w:t> </w:t>
      </w:r>
    </w:p>
    <w:p w14:paraId="5F6AAB7E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6">
        <w:r w:rsidRPr="00625709">
          <w:rPr>
            <w:rFonts w:ascii="Arial" w:eastAsia="Arial" w:hAnsi="Arial" w:cs="Arial"/>
            <w:color w:val="0000FF"/>
          </w:rPr>
          <w:t>Orden SCO/1741/2006, de 29 de mayo, por la que se modifican los anexos del Real Decreto 1277/2003, de 10 de octubre, por el que se establecen las bases generales sobre autorización de centros, servicios y establecimientos sanitarios</w:t>
        </w:r>
      </w:hyperlink>
    </w:p>
    <w:p w14:paraId="1A41F657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7">
        <w:r w:rsidRPr="00625709">
          <w:rPr>
            <w:rFonts w:ascii="Arial" w:eastAsia="Arial" w:hAnsi="Arial" w:cs="Arial"/>
            <w:color w:val="0000FF"/>
          </w:rPr>
          <w:t>Ley 44/2003, de 21 de noviembre, de ordenación de las profesiones sanitarias</w:t>
        </w:r>
      </w:hyperlink>
    </w:p>
    <w:p w14:paraId="6F941ADB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8">
        <w:r w:rsidRPr="00625709">
          <w:rPr>
            <w:rFonts w:ascii="Arial" w:eastAsia="Arial" w:hAnsi="Arial" w:cs="Arial"/>
            <w:color w:val="0000FF"/>
          </w:rPr>
          <w:t>Ley 11/1994, de 26 de julio, de Ordenación Sanitaria de Canarias</w:t>
        </w:r>
      </w:hyperlink>
    </w:p>
    <w:p w14:paraId="1FD726B1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29">
        <w:r w:rsidRPr="00625709">
          <w:rPr>
            <w:rFonts w:ascii="Arial" w:eastAsia="Arial" w:hAnsi="Arial" w:cs="Arial"/>
            <w:color w:val="0000FF"/>
          </w:rPr>
          <w:t>Decreto 49/2009, de 28 de abril, por el que se regulan los Registros de Profesionales Sanitarios de Canarias</w:t>
        </w:r>
      </w:hyperlink>
    </w:p>
    <w:p w14:paraId="1BF413C4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0">
        <w:r w:rsidRPr="00625709">
          <w:rPr>
            <w:rFonts w:ascii="Arial" w:eastAsia="Arial" w:hAnsi="Arial" w:cs="Arial"/>
            <w:color w:val="0000FF"/>
          </w:rPr>
          <w:t>Decreto 68/2010, de 17 de junio, por el que se regula la autorización y registro de los centros, servicios y establecimientos sanitarios de Canarias</w:t>
        </w:r>
      </w:hyperlink>
    </w:p>
    <w:p w14:paraId="7DA71A45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1">
        <w:r w:rsidRPr="00625709">
          <w:rPr>
            <w:rFonts w:ascii="Arial" w:eastAsia="Arial" w:hAnsi="Arial" w:cs="Arial"/>
            <w:color w:val="0000FF"/>
          </w:rPr>
          <w:t>Orden de la Consejería de Sanidad y Consumo del Gobierno de Canarias de 29 de mayo de 2002, por la que se establecen las condiciones y requisitos técnicos de instalación y funcionamiento de las consultas dentales y laboratorios de prótesis dental</w:t>
        </w:r>
      </w:hyperlink>
    </w:p>
    <w:p w14:paraId="0EA7C1A1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2">
        <w:r w:rsidRPr="00625709">
          <w:rPr>
            <w:rFonts w:ascii="Arial" w:eastAsia="Arial" w:hAnsi="Arial" w:cs="Arial"/>
            <w:color w:val="0000FF"/>
          </w:rPr>
          <w:t xml:space="preserve">Orden de la Consejería de Sanidad y Consumo del Gobierno de Canarias de 30 de julio de 2002, por la que se corrigen errores materiales de la Orden de 29 de mayo </w:t>
        </w:r>
        <w:r w:rsidRPr="00625709">
          <w:rPr>
            <w:rFonts w:ascii="Arial" w:eastAsia="Arial" w:hAnsi="Arial" w:cs="Arial"/>
            <w:color w:val="0000FF"/>
          </w:rPr>
          <w:lastRenderedPageBreak/>
          <w:t>de 2002, que establece las condiciones y requisitos técnicos de instalación y funcionamiento de las consultas dentales y laboratorios de prótesis dental</w:t>
        </w:r>
      </w:hyperlink>
    </w:p>
    <w:p w14:paraId="54BBFB01" w14:textId="77777777" w:rsidR="00CE5638" w:rsidRPr="00625709" w:rsidRDefault="00603A11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3">
        <w:r w:rsidRPr="00625709">
          <w:rPr>
            <w:rFonts w:ascii="Arial" w:eastAsia="Arial" w:hAnsi="Arial" w:cs="Arial"/>
            <w:color w:val="0000FF"/>
          </w:rPr>
          <w:t>Real Decreto 601/2019, de 18 de octubre, sobre justificación y optimización del uso de las radiaciones ionizantes para la protección radiológica de las personas con ocasión de exposiciones médicas</w:t>
        </w:r>
      </w:hyperlink>
    </w:p>
    <w:p w14:paraId="726F8727" w14:textId="444BDD42" w:rsidR="00CE5638" w:rsidRPr="00BD0E74" w:rsidRDefault="00603A11" w:rsidP="00BD0E74">
      <w:pPr>
        <w:pStyle w:val="normal1"/>
        <w:numPr>
          <w:ilvl w:val="1"/>
          <w:numId w:val="8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4">
        <w:r w:rsidRPr="00625709">
          <w:rPr>
            <w:rFonts w:ascii="Arial" w:eastAsia="Arial" w:hAnsi="Arial" w:cs="Arial"/>
            <w:color w:val="0000FF"/>
          </w:rPr>
          <w:t>Orden de 30 de junio de 2008, por la que se establecen los requisitos que deben cumplir los centros sanitarios para su homologación en el grupo de consultas, subgrupos: especialidades y otros profesionales sanitarios: Dentista</w:t>
        </w:r>
      </w:hyperlink>
    </w:p>
    <w:p w14:paraId="3BA0E398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SOCIEDADES PROFESIONALES</w:t>
      </w:r>
    </w:p>
    <w:p w14:paraId="264824F3" w14:textId="77777777" w:rsidR="00CE5638" w:rsidRPr="00625709" w:rsidRDefault="00603A11">
      <w:pPr>
        <w:pStyle w:val="normal1"/>
        <w:numPr>
          <w:ilvl w:val="1"/>
          <w:numId w:val="9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5">
        <w:r w:rsidRPr="00625709">
          <w:rPr>
            <w:rFonts w:ascii="Arial" w:eastAsia="Arial" w:hAnsi="Arial" w:cs="Arial"/>
            <w:color w:val="0000FF"/>
          </w:rPr>
          <w:t>Ley 2/2007, de 15 de marzo, de sociedades profesionales</w:t>
        </w:r>
      </w:hyperlink>
    </w:p>
    <w:p w14:paraId="38BE32E1" w14:textId="77777777" w:rsidR="00CE5638" w:rsidRPr="00625709" w:rsidRDefault="00603A11">
      <w:pPr>
        <w:pStyle w:val="normal1"/>
        <w:numPr>
          <w:ilvl w:val="1"/>
          <w:numId w:val="9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6">
        <w:r w:rsidRPr="00625709">
          <w:rPr>
            <w:rFonts w:ascii="Arial" w:eastAsia="Arial" w:hAnsi="Arial" w:cs="Arial"/>
            <w:color w:val="0000FF"/>
          </w:rPr>
          <w:t>Ley 34/1988, de 11 de noviembre, General de Publicidad</w:t>
        </w:r>
      </w:hyperlink>
    </w:p>
    <w:p w14:paraId="73B2A8D8" w14:textId="77777777" w:rsidR="00CE5638" w:rsidRPr="00625709" w:rsidRDefault="00603A11">
      <w:pPr>
        <w:pStyle w:val="normal1"/>
        <w:numPr>
          <w:ilvl w:val="1"/>
          <w:numId w:val="9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7">
        <w:r w:rsidRPr="00625709">
          <w:rPr>
            <w:rFonts w:ascii="Arial" w:eastAsia="Arial" w:hAnsi="Arial" w:cs="Arial"/>
            <w:color w:val="0000FF"/>
          </w:rPr>
          <w:t>Ley Orgánica 10/1995, de 23 de noviembre, del Código Penal</w:t>
        </w:r>
      </w:hyperlink>
      <w:r w:rsidRPr="00625709">
        <w:rPr>
          <w:rFonts w:ascii="Arial" w:eastAsia="Arial" w:hAnsi="Arial" w:cs="Arial"/>
          <w:color w:val="0000FF"/>
        </w:rPr>
        <w:t>.</w:t>
      </w:r>
      <w:r w:rsidRPr="00625709">
        <w:rPr>
          <w:rFonts w:ascii="Arial" w:eastAsia="Arial" w:hAnsi="Arial" w:cs="Arial"/>
          <w:color w:val="000000"/>
        </w:rPr>
        <w:t>[Inclusión parcial]</w:t>
      </w:r>
    </w:p>
    <w:p w14:paraId="28044EC5" w14:textId="77777777" w:rsidR="00CE5638" w:rsidRPr="00625709" w:rsidRDefault="00603A11">
      <w:pPr>
        <w:pStyle w:val="normal1"/>
        <w:numPr>
          <w:ilvl w:val="1"/>
          <w:numId w:val="9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8">
        <w:r w:rsidRPr="00625709">
          <w:rPr>
            <w:rFonts w:ascii="Arial" w:eastAsia="Arial" w:hAnsi="Arial" w:cs="Arial"/>
            <w:color w:val="0000FF"/>
          </w:rPr>
          <w:t>Ley 15/2007, de 3 de julio, de Defensa de la Competencia</w:t>
        </w:r>
      </w:hyperlink>
    </w:p>
    <w:p w14:paraId="0DAC32CD" w14:textId="1E51FC5A" w:rsidR="00CE5638" w:rsidRPr="00BD0E74" w:rsidRDefault="00603A11" w:rsidP="00BD0E74">
      <w:pPr>
        <w:pStyle w:val="normal1"/>
        <w:numPr>
          <w:ilvl w:val="1"/>
          <w:numId w:val="9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39">
        <w:r w:rsidRPr="00625709">
          <w:rPr>
            <w:rFonts w:ascii="Arial" w:eastAsia="Arial" w:hAnsi="Arial" w:cs="Arial"/>
            <w:color w:val="0000FF"/>
          </w:rPr>
          <w:t>Ley 3/1991, de 10 de enero, de Competencia Desleal</w:t>
        </w:r>
      </w:hyperlink>
    </w:p>
    <w:p w14:paraId="2225AC47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INTRUSISMO PROFESIONAL</w:t>
      </w:r>
    </w:p>
    <w:p w14:paraId="624FF315" w14:textId="1114CAA6" w:rsidR="00CE5638" w:rsidRPr="00BD0E74" w:rsidRDefault="00603A11" w:rsidP="00BD0E74">
      <w:pPr>
        <w:pStyle w:val="normal1"/>
        <w:numPr>
          <w:ilvl w:val="1"/>
          <w:numId w:val="1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40">
        <w:r w:rsidRPr="00625709">
          <w:rPr>
            <w:rFonts w:ascii="Arial" w:eastAsia="Arial" w:hAnsi="Arial" w:cs="Arial"/>
            <w:color w:val="0000FF"/>
          </w:rPr>
          <w:t>Ley Orgánica 10/1995, de 23 de noviembre, del Código Penal</w:t>
        </w:r>
      </w:hyperlink>
      <w:r w:rsidRPr="00625709">
        <w:rPr>
          <w:rFonts w:ascii="Arial" w:eastAsia="Arial" w:hAnsi="Arial" w:cs="Arial"/>
          <w:color w:val="0000FF"/>
        </w:rPr>
        <w:t xml:space="preserve">. </w:t>
      </w:r>
      <w:r w:rsidRPr="00625709">
        <w:rPr>
          <w:rFonts w:ascii="Arial" w:eastAsia="Arial" w:hAnsi="Arial" w:cs="Arial"/>
          <w:color w:val="000000"/>
        </w:rPr>
        <w:t>[Inclusión parcial]</w:t>
      </w:r>
    </w:p>
    <w:p w14:paraId="302D5DC6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PROTECCIÓN DE DATOS</w:t>
      </w:r>
    </w:p>
    <w:p w14:paraId="5773330B" w14:textId="77777777" w:rsidR="00CE5638" w:rsidRPr="00625709" w:rsidRDefault="00603A11">
      <w:pPr>
        <w:pStyle w:val="normal1"/>
        <w:numPr>
          <w:ilvl w:val="1"/>
          <w:numId w:val="3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41">
        <w:r w:rsidRPr="00625709">
          <w:rPr>
            <w:rFonts w:ascii="Arial" w:eastAsia="Arial" w:hAnsi="Arial" w:cs="Arial"/>
            <w:color w:val="0000FF"/>
          </w:rPr>
          <w:t>Real Decreto 1720/2007, de 21 de diciembre, por el que se aprueba el Reglamento de desarrollo de la Ley Orgánica 15/1999, de 13 de diciembre, de protección de datos de carácter personal</w:t>
        </w:r>
      </w:hyperlink>
    </w:p>
    <w:p w14:paraId="797A1D16" w14:textId="77777777" w:rsidR="00CE5638" w:rsidRPr="00625709" w:rsidRDefault="00603A11">
      <w:pPr>
        <w:pStyle w:val="normal1"/>
        <w:numPr>
          <w:ilvl w:val="1"/>
          <w:numId w:val="3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42">
        <w:r w:rsidRPr="00625709">
          <w:rPr>
            <w:rFonts w:ascii="Arial" w:hAnsi="Arial" w:cs="Arial"/>
            <w:color w:val="0000FF"/>
            <w:u w:val="single"/>
          </w:rPr>
          <w:t>Reglamento (UE) 2016/679 del Parlamento Europeo y del Consejo, de 27 de abril de 2016, relativo a la protección de las personas físicas en lo que respecta al tratamiento de datos personales y a la libre circulación de estos datos y por el que se deroga la Directiva 95/46/CE</w:t>
        </w:r>
      </w:hyperlink>
      <w:r w:rsidRPr="00625709">
        <w:rPr>
          <w:rFonts w:ascii="Arial" w:eastAsia="Arial" w:hAnsi="Arial" w:cs="Arial"/>
          <w:color w:val="0000FF"/>
        </w:rPr>
        <w:t xml:space="preserve"> </w:t>
      </w:r>
      <w:r w:rsidRPr="00625709">
        <w:rPr>
          <w:rFonts w:ascii="Arial" w:eastAsia="Arial" w:hAnsi="Arial" w:cs="Arial"/>
          <w:color w:val="000000"/>
        </w:rPr>
        <w:t>[RGPD]</w:t>
      </w:r>
    </w:p>
    <w:p w14:paraId="050AC281" w14:textId="43FAA918" w:rsidR="00CE5638" w:rsidRPr="00BD0E74" w:rsidRDefault="00603A11" w:rsidP="00BD0E74">
      <w:pPr>
        <w:pStyle w:val="normal1"/>
        <w:numPr>
          <w:ilvl w:val="1"/>
          <w:numId w:val="3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43">
        <w:r w:rsidRPr="00625709">
          <w:rPr>
            <w:rFonts w:ascii="Arial" w:eastAsia="Arial" w:hAnsi="Arial" w:cs="Arial"/>
            <w:color w:val="0000FF"/>
          </w:rPr>
          <w:t>Ley Orgánica 3/2018, de 5 de diciembre, de Protección de Datos Personales y garantía de los derechos digitales</w:t>
        </w:r>
      </w:hyperlink>
    </w:p>
    <w:p w14:paraId="08D479E0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TÍTULOS ACADÉMICOS</w:t>
      </w:r>
    </w:p>
    <w:p w14:paraId="5A5443E4" w14:textId="77777777" w:rsidR="00CE5638" w:rsidRPr="00625709" w:rsidRDefault="00603A11">
      <w:pPr>
        <w:pStyle w:val="normal1"/>
        <w:numPr>
          <w:ilvl w:val="1"/>
          <w:numId w:val="4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44">
        <w:r w:rsidRPr="00625709">
          <w:rPr>
            <w:rFonts w:ascii="Arial" w:eastAsia="Arial" w:hAnsi="Arial" w:cs="Arial"/>
            <w:color w:val="0000FF"/>
          </w:rPr>
          <w:t>Real Decreto 1393/2007, de 29 de octubre, por el que se establece la ordenación de las enseñanzas universitarias oficiales</w:t>
        </w:r>
      </w:hyperlink>
      <w:r w:rsidRPr="00625709">
        <w:rPr>
          <w:rFonts w:ascii="Arial" w:eastAsia="Arial" w:hAnsi="Arial" w:cs="Arial"/>
          <w:color w:val="0000FF"/>
        </w:rPr>
        <w:t xml:space="preserve">. </w:t>
      </w:r>
      <w:r w:rsidRPr="00625709">
        <w:rPr>
          <w:rFonts w:ascii="Arial" w:eastAsia="Arial" w:hAnsi="Arial" w:cs="Arial"/>
          <w:color w:val="000000"/>
        </w:rPr>
        <w:t xml:space="preserve">[Inclusión parcial] </w:t>
      </w:r>
    </w:p>
    <w:p w14:paraId="152D5864" w14:textId="0FFE430A" w:rsidR="00CE5638" w:rsidRPr="00BD0E74" w:rsidRDefault="00603A11" w:rsidP="00BD0E74">
      <w:pPr>
        <w:pStyle w:val="normal1"/>
        <w:numPr>
          <w:ilvl w:val="1"/>
          <w:numId w:val="4"/>
        </w:numPr>
        <w:tabs>
          <w:tab w:val="left" w:pos="0"/>
        </w:tabs>
        <w:spacing w:before="169" w:after="169" w:line="360" w:lineRule="auto"/>
        <w:rPr>
          <w:rFonts w:ascii="Arial" w:hAnsi="Arial" w:cs="Arial"/>
          <w:color w:val="000000"/>
        </w:rPr>
      </w:pPr>
      <w:hyperlink r:id="rId45">
        <w:r w:rsidRPr="00625709">
          <w:rPr>
            <w:rFonts w:ascii="Arial" w:eastAsia="Arial" w:hAnsi="Arial" w:cs="Arial"/>
            <w:color w:val="0000FF"/>
          </w:rPr>
          <w:t>Real Decreto 1002/201O, de 5 de agosto, sobre expedición de títulos universitarios oficiales</w:t>
        </w:r>
      </w:hyperlink>
      <w:r w:rsidRPr="00625709">
        <w:rPr>
          <w:rFonts w:ascii="Arial" w:eastAsia="Arial" w:hAnsi="Arial" w:cs="Arial"/>
          <w:color w:val="0000FF"/>
        </w:rPr>
        <w:t xml:space="preserve"> </w:t>
      </w:r>
    </w:p>
    <w:p w14:paraId="07A4A81B" w14:textId="77777777" w:rsidR="00CE5638" w:rsidRPr="00625709" w:rsidRDefault="00603A11">
      <w:pPr>
        <w:pStyle w:val="normal1"/>
        <w:spacing w:before="169" w:after="169" w:line="360" w:lineRule="auto"/>
        <w:rPr>
          <w:rFonts w:ascii="Arial" w:hAnsi="Arial" w:cs="Arial"/>
          <w:color w:val="000000"/>
        </w:rPr>
      </w:pPr>
      <w:r w:rsidRPr="00625709">
        <w:rPr>
          <w:rFonts w:ascii="Arial" w:eastAsia="Arial" w:hAnsi="Arial" w:cs="Arial"/>
          <w:b/>
          <w:color w:val="000000"/>
        </w:rPr>
        <w:t>NORMATIVA FISCAL</w:t>
      </w:r>
    </w:p>
    <w:p w14:paraId="52D1DAFD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46">
        <w:r w:rsidRPr="00625709">
          <w:rPr>
            <w:rFonts w:ascii="Arial" w:eastAsia="Arial" w:hAnsi="Arial" w:cs="Arial"/>
            <w:color w:val="0000FF"/>
          </w:rPr>
          <w:t>Ley 35/2006, de 28 de noviembre, del Impuesto sobre la Renta de las Personas Físicas y de modificación parcial de las leyes de los Impuestos sobre Sociedades, sobre la Renta de no Residentes y sobre el Patrimonio</w:t>
        </w:r>
      </w:hyperlink>
      <w:r w:rsidRPr="00625709">
        <w:rPr>
          <w:rFonts w:ascii="Arial" w:eastAsia="Arial" w:hAnsi="Arial" w:cs="Arial"/>
          <w:color w:val="0000FF"/>
        </w:rPr>
        <w:t>. </w:t>
      </w:r>
      <w:r w:rsidRPr="00625709">
        <w:rPr>
          <w:rFonts w:ascii="Arial" w:eastAsia="Arial" w:hAnsi="Arial" w:cs="Arial"/>
          <w:color w:val="000000"/>
        </w:rPr>
        <w:t>[Inclusión parcial]</w:t>
      </w:r>
      <w:r w:rsidRPr="00625709">
        <w:rPr>
          <w:rFonts w:ascii="Arial" w:eastAsia="Arial" w:hAnsi="Arial" w:cs="Arial"/>
          <w:color w:val="0000FF"/>
        </w:rPr>
        <w:t xml:space="preserve"> </w:t>
      </w:r>
    </w:p>
    <w:p w14:paraId="57CB0B2D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47">
        <w:r w:rsidRPr="00625709">
          <w:rPr>
            <w:rFonts w:ascii="Arial" w:eastAsia="Arial" w:hAnsi="Arial" w:cs="Arial"/>
            <w:color w:val="0000FF"/>
            <w:u w:val="single"/>
          </w:rPr>
          <w:t>Real Decreto 439/2007, de 30 de marzo, por el que se aprueba el Reglamento del Impuesto sobre la Renta de las Personas Físicas y se modifica el Reglamento de Planes y Fondos de Pensiones, aprobado por Real Decreto 304/2004, de 20 de febrero</w:t>
        </w:r>
      </w:hyperlink>
      <w:r w:rsidRPr="00625709">
        <w:rPr>
          <w:rFonts w:ascii="Arial" w:eastAsia="Arial" w:hAnsi="Arial" w:cs="Arial"/>
          <w:color w:val="0000FF"/>
        </w:rPr>
        <w:t>.</w:t>
      </w:r>
      <w:r w:rsidRPr="00625709">
        <w:rPr>
          <w:rFonts w:ascii="Arial" w:eastAsia="Arial" w:hAnsi="Arial" w:cs="Arial"/>
          <w:color w:val="000000"/>
        </w:rPr>
        <w:t xml:space="preserve">[Inclusión parcial] </w:t>
      </w:r>
    </w:p>
    <w:p w14:paraId="2378B370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48">
        <w:r w:rsidRPr="00625709">
          <w:rPr>
            <w:rFonts w:ascii="Arial" w:eastAsia="Arial" w:hAnsi="Arial" w:cs="Arial"/>
            <w:color w:val="0000FF"/>
          </w:rPr>
          <w:t>Real Decreto Legislativo 1175/1990, de 28 de septiembre, por el que se aprueban las tarifas y la instrucción del Impuesto sobre Actividades Económicas</w:t>
        </w:r>
      </w:hyperlink>
      <w:r w:rsidRPr="00625709">
        <w:rPr>
          <w:rFonts w:ascii="Arial" w:eastAsia="Arial" w:hAnsi="Arial" w:cs="Arial"/>
          <w:color w:val="0000FF"/>
        </w:rPr>
        <w:t xml:space="preserve"> </w:t>
      </w:r>
    </w:p>
    <w:p w14:paraId="68888D5A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49">
        <w:r w:rsidRPr="00625709">
          <w:rPr>
            <w:rFonts w:ascii="Arial" w:eastAsia="Arial" w:hAnsi="Arial" w:cs="Arial"/>
            <w:color w:val="0000FF"/>
          </w:rPr>
          <w:t>Real Decreto 1624/1992, de 29 de diciembre, por el que se aprueba el Reglamento del Impuesto sobre el Valor Añadido y se modifica el Real Decreto 1041/1990, de 27 de julio, por el que se  regulan las declaraciones censales que han de presentar a efectos fiscales los empresarios, los profesionales y otros obligados tributarios; el Real Decreto 338/1990, de 9 de marzo, por el que se regula la composición y la forma de utilización del número de identificación fiscal, el Real Decreto 2402/1985, de 18 de diciembre, por el que se regula el deber de expedir y entregar factura que incumbe a los empresarios y profesionales, y el Real Decreto 1326/1987,  de 11 de septiembre, por el que se establece el procedimiento de aplicación de las Directivas de la Comunidad Económica Europea sobre intercambio de información tributaria</w:t>
        </w:r>
      </w:hyperlink>
      <w:r w:rsidRPr="00625709">
        <w:rPr>
          <w:rFonts w:ascii="Arial" w:eastAsia="Arial" w:hAnsi="Arial" w:cs="Arial"/>
          <w:color w:val="0000FF"/>
        </w:rPr>
        <w:t xml:space="preserve"> </w:t>
      </w:r>
    </w:p>
    <w:p w14:paraId="59A3A257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50">
        <w:r w:rsidRPr="00625709">
          <w:rPr>
            <w:rFonts w:ascii="Arial" w:eastAsia="Arial" w:hAnsi="Arial" w:cs="Arial"/>
            <w:color w:val="0000FF"/>
          </w:rPr>
          <w:t>Ley 27/2014, de 27 de noviembre, del Impuesto sobre Sociedades</w:t>
        </w:r>
      </w:hyperlink>
      <w:r w:rsidRPr="00625709">
        <w:rPr>
          <w:rFonts w:ascii="Arial" w:eastAsia="Arial" w:hAnsi="Arial" w:cs="Arial"/>
          <w:color w:val="0000FF"/>
        </w:rPr>
        <w:t>.</w:t>
      </w:r>
      <w:r w:rsidRPr="00625709">
        <w:rPr>
          <w:rFonts w:ascii="Arial" w:eastAsia="Arial" w:hAnsi="Arial" w:cs="Arial"/>
          <w:color w:val="000000"/>
        </w:rPr>
        <w:t xml:space="preserve"> [Inclusión parcial] </w:t>
      </w:r>
    </w:p>
    <w:p w14:paraId="7597CBFA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51">
        <w:r w:rsidRPr="00625709">
          <w:rPr>
            <w:rFonts w:ascii="Arial" w:eastAsia="Arial" w:hAnsi="Arial" w:cs="Arial"/>
            <w:color w:val="0000FF"/>
          </w:rPr>
          <w:t>Ley 20/1991, de 7 de junio, de modificación de los aspectos fiscales del Régimen Económico Fiscal de Canarias</w:t>
        </w:r>
      </w:hyperlink>
    </w:p>
    <w:p w14:paraId="5B7936FF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52">
        <w:r w:rsidRPr="00625709">
          <w:rPr>
            <w:rFonts w:ascii="Arial" w:eastAsia="Arial" w:hAnsi="Arial" w:cs="Arial"/>
            <w:color w:val="0000FF"/>
          </w:rPr>
          <w:t>Real Decreto 2538/1994, de 29 de diciembre, por el que se dictan normas de desarrollo relativas al Impuesto General Indirecto Canario y al Arbitrio sobre la producción e importación en las Islas Canarias, creados por la Ley 20/1991 de 7 de junio</w:t>
        </w:r>
      </w:hyperlink>
    </w:p>
    <w:p w14:paraId="543FB42B" w14:textId="77777777" w:rsidR="00CE5638" w:rsidRPr="00625709" w:rsidRDefault="00603A11">
      <w:pPr>
        <w:pStyle w:val="normal1"/>
        <w:numPr>
          <w:ilvl w:val="0"/>
          <w:numId w:val="2"/>
        </w:numPr>
        <w:tabs>
          <w:tab w:val="left" w:pos="0"/>
        </w:tabs>
        <w:spacing w:before="169" w:after="0" w:line="360" w:lineRule="auto"/>
        <w:rPr>
          <w:rFonts w:ascii="Arial" w:hAnsi="Arial" w:cs="Arial"/>
          <w:color w:val="000000"/>
        </w:rPr>
      </w:pPr>
      <w:hyperlink r:id="rId53">
        <w:r w:rsidRPr="00625709">
          <w:rPr>
            <w:rFonts w:ascii="Arial" w:eastAsia="Arial" w:hAnsi="Arial" w:cs="Arial"/>
            <w:color w:val="0000FF"/>
          </w:rPr>
          <w:t>Ley 4/2012, de 25 de junio, de medidas administrativas y fiscales de Canarias</w:t>
        </w:r>
      </w:hyperlink>
    </w:p>
    <w:p w14:paraId="2AEFC62A" w14:textId="77777777" w:rsidR="00CE5638" w:rsidRPr="00625709" w:rsidRDefault="00CE5638">
      <w:pPr>
        <w:pStyle w:val="normal1"/>
        <w:rPr>
          <w:rFonts w:ascii="Arial" w:hAnsi="Arial" w:cs="Arial"/>
        </w:rPr>
        <w:sectPr w:rsidR="00CE5638" w:rsidRPr="00625709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838"/>
          <w:pgMar w:top="3119" w:right="1134" w:bottom="1427" w:left="1134" w:header="1134" w:footer="1134" w:gutter="0"/>
          <w:pgNumType w:start="1"/>
          <w:cols w:space="720"/>
          <w:formProt w:val="0"/>
          <w:docGrid w:linePitch="100" w:charSpace="4096"/>
        </w:sectPr>
      </w:pPr>
    </w:p>
    <w:p w14:paraId="4B920C5A" w14:textId="77777777" w:rsidR="00CE5638" w:rsidRPr="00625709" w:rsidRDefault="00CE5638">
      <w:pPr>
        <w:pStyle w:val="normal1"/>
        <w:widowControl w:val="0"/>
        <w:spacing w:after="0"/>
        <w:rPr>
          <w:rFonts w:ascii="Arial" w:eastAsia="Arial" w:hAnsi="Arial" w:cs="Arial"/>
          <w:color w:val="000000"/>
        </w:rPr>
      </w:pPr>
    </w:p>
    <w:sectPr w:rsidR="00CE5638" w:rsidRPr="00625709">
      <w:type w:val="continuous"/>
      <w:pgSz w:w="11906" w:h="16838"/>
      <w:pgMar w:top="3119" w:right="1134" w:bottom="1427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F228" w14:textId="77777777" w:rsidR="0067164F" w:rsidRDefault="0067164F">
      <w:pPr>
        <w:spacing w:after="0" w:line="240" w:lineRule="auto"/>
      </w:pPr>
      <w:r>
        <w:separator/>
      </w:r>
    </w:p>
  </w:endnote>
  <w:endnote w:type="continuationSeparator" w:id="0">
    <w:p w14:paraId="1909BC08" w14:textId="77777777" w:rsidR="0067164F" w:rsidRDefault="0067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0F97" w14:textId="77777777" w:rsidR="00CE5638" w:rsidRDefault="00CE56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A16" w14:textId="77777777" w:rsidR="00CE5638" w:rsidRDefault="00603A11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D55C" w14:textId="77777777" w:rsidR="00CE5638" w:rsidRDefault="00603A11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1B7A" w14:textId="77777777" w:rsidR="0067164F" w:rsidRDefault="0067164F">
      <w:pPr>
        <w:spacing w:after="0" w:line="240" w:lineRule="auto"/>
      </w:pPr>
      <w:r>
        <w:separator/>
      </w:r>
    </w:p>
  </w:footnote>
  <w:footnote w:type="continuationSeparator" w:id="0">
    <w:p w14:paraId="32AB4993" w14:textId="77777777" w:rsidR="0067164F" w:rsidRDefault="0067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610C" w14:textId="77777777" w:rsidR="00CE5638" w:rsidRDefault="00CE56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031C" w14:textId="77777777" w:rsidR="00CE5638" w:rsidRDefault="00603A11">
    <w:pPr>
      <w:pStyle w:val="normal1"/>
      <w:tabs>
        <w:tab w:val="center" w:pos="4157"/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0AC448B0" wp14:editId="272543A8">
          <wp:extent cx="1951990" cy="10293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82AE" w14:textId="77777777" w:rsidR="00CE5638" w:rsidRDefault="00603A11">
    <w:pPr>
      <w:pStyle w:val="normal1"/>
      <w:tabs>
        <w:tab w:val="center" w:pos="4157"/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5BA154F4" wp14:editId="5744F512">
          <wp:extent cx="1951990" cy="10293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956"/>
    <w:multiLevelType w:val="multilevel"/>
    <w:tmpl w:val="36608246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1" w15:restartNumberingAfterBreak="0">
    <w:nsid w:val="116E6F74"/>
    <w:multiLevelType w:val="multilevel"/>
    <w:tmpl w:val="FF9EEA58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2" w15:restartNumberingAfterBreak="0">
    <w:nsid w:val="195A4D83"/>
    <w:multiLevelType w:val="multilevel"/>
    <w:tmpl w:val="D3C47E90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3" w15:restartNumberingAfterBreak="0">
    <w:nsid w:val="1AAD0862"/>
    <w:multiLevelType w:val="multilevel"/>
    <w:tmpl w:val="7228DE8A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4" w15:restartNumberingAfterBreak="0">
    <w:nsid w:val="346A0A9F"/>
    <w:multiLevelType w:val="multilevel"/>
    <w:tmpl w:val="3A00A074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5" w15:restartNumberingAfterBreak="0">
    <w:nsid w:val="40FB2B9B"/>
    <w:multiLevelType w:val="multilevel"/>
    <w:tmpl w:val="0A86160E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6" w15:restartNumberingAfterBreak="0">
    <w:nsid w:val="5AD13C6E"/>
    <w:multiLevelType w:val="multilevel"/>
    <w:tmpl w:val="212CFF74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abstractNum w:abstractNumId="7" w15:restartNumberingAfterBreak="0">
    <w:nsid w:val="63BE2FFC"/>
    <w:multiLevelType w:val="multilevel"/>
    <w:tmpl w:val="0CD46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91A5886"/>
    <w:multiLevelType w:val="multilevel"/>
    <w:tmpl w:val="C242FBE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56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6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497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568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709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7803" w:hanging="283"/>
      </w:pPr>
    </w:lvl>
  </w:abstractNum>
  <w:abstractNum w:abstractNumId="9" w15:restartNumberingAfterBreak="0">
    <w:nsid w:val="78B93012"/>
    <w:multiLevelType w:val="multilevel"/>
    <w:tmpl w:val="B53C608A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63" w:hanging="283"/>
      </w:pPr>
    </w:lvl>
  </w:abstractNum>
  <w:num w:numId="1" w16cid:durableId="1195919232">
    <w:abstractNumId w:val="1"/>
  </w:num>
  <w:num w:numId="2" w16cid:durableId="193152438">
    <w:abstractNumId w:val="8"/>
  </w:num>
  <w:num w:numId="3" w16cid:durableId="1482042798">
    <w:abstractNumId w:val="5"/>
  </w:num>
  <w:num w:numId="4" w16cid:durableId="1130705119">
    <w:abstractNumId w:val="3"/>
  </w:num>
  <w:num w:numId="5" w16cid:durableId="1899706424">
    <w:abstractNumId w:val="6"/>
  </w:num>
  <w:num w:numId="6" w16cid:durableId="457143496">
    <w:abstractNumId w:val="2"/>
  </w:num>
  <w:num w:numId="7" w16cid:durableId="247888653">
    <w:abstractNumId w:val="0"/>
  </w:num>
  <w:num w:numId="8" w16cid:durableId="1289507852">
    <w:abstractNumId w:val="4"/>
  </w:num>
  <w:num w:numId="9" w16cid:durableId="579560825">
    <w:abstractNumId w:val="9"/>
  </w:num>
  <w:num w:numId="10" w16cid:durableId="576092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638"/>
    <w:rsid w:val="00012F99"/>
    <w:rsid w:val="00603A11"/>
    <w:rsid w:val="00625709"/>
    <w:rsid w:val="0067164F"/>
    <w:rsid w:val="00722C5A"/>
    <w:rsid w:val="00A97D3F"/>
    <w:rsid w:val="00AC0DC0"/>
    <w:rsid w:val="00B2661D"/>
    <w:rsid w:val="00BD0E74"/>
    <w:rsid w:val="00BD7EBE"/>
    <w:rsid w:val="00CE5638"/>
    <w:rsid w:val="00F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00D3"/>
  <w15:docId w15:val="{696E0F96-7B01-47B7-860B-718D00E4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240" w:after="0" w:line="240" w:lineRule="auto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e.es/boe/dias/2018/11/06/pdfs/BOE-A-2018-15138.pdf" TargetMode="External"/><Relationship Id="rId18" Type="http://schemas.openxmlformats.org/officeDocument/2006/relationships/hyperlink" Target="https://www.boe.es/buscar/pdf/2015/BOE-A-2015-10565-consolidado.pdf" TargetMode="External"/><Relationship Id="rId26" Type="http://schemas.openxmlformats.org/officeDocument/2006/relationships/hyperlink" Target="https://www.boe.es/boe/dias/2006/06/06/pdfs/A21240-21241.pdf" TargetMode="External"/><Relationship Id="rId39" Type="http://schemas.openxmlformats.org/officeDocument/2006/relationships/hyperlink" Target="https://www.boe.es/buscar/pdf/1991/BOE-A-1991-628-consolidado.pdf" TargetMode="External"/><Relationship Id="rId21" Type="http://schemas.openxmlformats.org/officeDocument/2006/relationships/hyperlink" Target="https://www.boe.es/eli/es/l/1986/03/17/10" TargetMode="External"/><Relationship Id="rId34" Type="http://schemas.openxmlformats.org/officeDocument/2006/relationships/hyperlink" Target="http://www.gobiernodecanarias.org/boc/2008/149/001.html" TargetMode="External"/><Relationship Id="rId42" Type="http://schemas.openxmlformats.org/officeDocument/2006/relationships/hyperlink" Target="https://www.boe.es/doue/2016/119/L00001-00088.pdf" TargetMode="External"/><Relationship Id="rId47" Type="http://schemas.openxmlformats.org/officeDocument/2006/relationships/hyperlink" Target="https://www.boe.es/buscar/pdf/2007/BOE-A-2007-6820-consolidado.pdf" TargetMode="External"/><Relationship Id="rId50" Type="http://schemas.openxmlformats.org/officeDocument/2006/relationships/hyperlink" Target="https://www.boe.es/buscar/pdf/2014/BOE-A-2014-12328-consolidado.pdf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biernodecanarias.org/libroazul/pdf/497.pdf" TargetMode="External"/><Relationship Id="rId29" Type="http://schemas.openxmlformats.org/officeDocument/2006/relationships/hyperlink" Target="http://www.gobiernodecanarias.org/boc/2009/091/boc-2009-091-002.pdf" TargetMode="External"/><Relationship Id="rId11" Type="http://schemas.openxmlformats.org/officeDocument/2006/relationships/hyperlink" Target="https://boe.es/buscar/pdf/2009/BOE-A-2009-18731-consolidado.pdf" TargetMode="External"/><Relationship Id="rId24" Type="http://schemas.openxmlformats.org/officeDocument/2006/relationships/hyperlink" Target="https://www.boe.es/buscar/pdf/2003/BOE-A-2003-21340-consolidado.pdf" TargetMode="External"/><Relationship Id="rId32" Type="http://schemas.openxmlformats.org/officeDocument/2006/relationships/hyperlink" Target="http://www.gobiernodecanarias.org/boc/2002/117/002.html" TargetMode="External"/><Relationship Id="rId37" Type="http://schemas.openxmlformats.org/officeDocument/2006/relationships/hyperlink" Target="https://www.boe.es/buscar/pdf/1995/BOE-A-1995-25444-consolidado.pdf" TargetMode="External"/><Relationship Id="rId40" Type="http://schemas.openxmlformats.org/officeDocument/2006/relationships/hyperlink" Target="https://www.boe.es/buscar/pdf/1995/BOE-A-1995-25444-consolidado.pdf" TargetMode="External"/><Relationship Id="rId45" Type="http://schemas.openxmlformats.org/officeDocument/2006/relationships/hyperlink" Target="https://www.boe.es/buscar/pdf/2010/BOE-A-2010-12621-consolidado.pdf" TargetMode="External"/><Relationship Id="rId53" Type="http://schemas.openxmlformats.org/officeDocument/2006/relationships/hyperlink" Target="https://www.boe.es/buscar/doc.php?id=BOE-A-2012-9282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boe.es/buscar/pdf/2015/BOE-A-2015-10566-consolidado.pdf" TargetMode="External"/><Relationship Id="rId14" Type="http://schemas.openxmlformats.org/officeDocument/2006/relationships/hyperlink" Target="https://www.boe.es/buscar/pdf/2013/BOE-A-2013-12887-consolidado.pdf" TargetMode="External"/><Relationship Id="rId22" Type="http://schemas.openxmlformats.org/officeDocument/2006/relationships/hyperlink" Target="https://www.boe.es/boe/dias/1994/09/08/pdfs/A28045-28047.pdf" TargetMode="External"/><Relationship Id="rId27" Type="http://schemas.openxmlformats.org/officeDocument/2006/relationships/hyperlink" Target="https://www.boe.es/buscar/pdf/2003/BOE-A-2003-21340-consolidado.pdf" TargetMode="External"/><Relationship Id="rId30" Type="http://schemas.openxmlformats.org/officeDocument/2006/relationships/hyperlink" Target="http://www.gobiernodecanarias.org/boc/2010/126/001.html" TargetMode="External"/><Relationship Id="rId35" Type="http://schemas.openxmlformats.org/officeDocument/2006/relationships/hyperlink" Target="https://www.boe.es/buscar/pdf/2007/BOE-A-2007-5584-consolidado.pdf" TargetMode="External"/><Relationship Id="rId43" Type="http://schemas.openxmlformats.org/officeDocument/2006/relationships/hyperlink" Target="https://www.boe.es/eli/es/lo/2018/12/05/3/dof/spa/pdf" TargetMode="External"/><Relationship Id="rId48" Type="http://schemas.openxmlformats.org/officeDocument/2006/relationships/hyperlink" Target="https://www.boe.es/buscar/pdf/1990/BOE-A-1990-23930-consolidado.pdf" TargetMode="External"/><Relationship Id="rId56" Type="http://schemas.openxmlformats.org/officeDocument/2006/relationships/footer" Target="footer1.xml"/><Relationship Id="rId8" Type="http://schemas.openxmlformats.org/officeDocument/2006/relationships/hyperlink" Target="https://www.boe.es/buscar/pdf/1978/BOE-A-1978-31229-consolidado.pdf" TargetMode="External"/><Relationship Id="rId51" Type="http://schemas.openxmlformats.org/officeDocument/2006/relationships/hyperlink" Target="https://www.boe.es/buscar/act.php?id=BOE-A-1991-1446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oe.es/buscar/pdf/1983/BOE-A-1983-27280-consolidado.pdf" TargetMode="External"/><Relationship Id="rId17" Type="http://schemas.openxmlformats.org/officeDocument/2006/relationships/hyperlink" Target="https://www.boe.es/buscar/pdf/1986/BOE-A-1986-10499-consolidado.pdf" TargetMode="External"/><Relationship Id="rId25" Type="http://schemas.openxmlformats.org/officeDocument/2006/relationships/hyperlink" Target="https://www.boe.es/buscar/pdf/2003/BOE-A-2003-19572-consolidado.pdf" TargetMode="External"/><Relationship Id="rId33" Type="http://schemas.openxmlformats.org/officeDocument/2006/relationships/hyperlink" Target="https://coelp.es/Real%20Decreto%20601/2019,%20de%2018%20de%20octubre,%20sobre%20justificaci&#243;n%20y%20optimizaci&#243;n%20del%20uso%20de%20las%20radiaciones%20ionizantes%20para%20la%20protecci&#243;n%20radiol&#243;gica%20de%20las%20personas%20con%20ocasi&#243;n%20de%20exposiciones%20m&#233;dicas" TargetMode="External"/><Relationship Id="rId38" Type="http://schemas.openxmlformats.org/officeDocument/2006/relationships/hyperlink" Target="https://www.boe.es/buscar/pdf/2007/BOE-A-2007-12946-consolidado.pdf" TargetMode="External"/><Relationship Id="rId46" Type="http://schemas.openxmlformats.org/officeDocument/2006/relationships/hyperlink" Target="https://www.boe.es/buscar/pdf/2006/BOE-A-2006-20764-consolidado.pdf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boe.es/buscar/pdf/2003/BOE-A-2003-23399-consolidado.pdf" TargetMode="External"/><Relationship Id="rId41" Type="http://schemas.openxmlformats.org/officeDocument/2006/relationships/hyperlink" Target="https://www.boe.es/buscar/pdf/2008/BOE-A-2008-979-consolidado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boe.es/boe/dias/2015/02/06/pdfs/BOE-A-2015-1114.pdf" TargetMode="External"/><Relationship Id="rId23" Type="http://schemas.openxmlformats.org/officeDocument/2006/relationships/hyperlink" Target="https://www.boe.es/buscar/pdf/2002/BOE-A-2002-22188-consolidado.pdf" TargetMode="External"/><Relationship Id="rId28" Type="http://schemas.openxmlformats.org/officeDocument/2006/relationships/hyperlink" Target="https://www.boe.es/buscar/pdf/1994/BOE-A-1994-19583-consolidado.pdf" TargetMode="External"/><Relationship Id="rId36" Type="http://schemas.openxmlformats.org/officeDocument/2006/relationships/hyperlink" Target="https://www.boe.es/buscar/pdf/1988/BOE-A-1988-26156-consolidado.pdf" TargetMode="External"/><Relationship Id="rId49" Type="http://schemas.openxmlformats.org/officeDocument/2006/relationships/hyperlink" Target="https://www.boe.es/buscar/pdf/1992/BOE-A-1992-28925-consolidado.pdf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.boe.es/buscar/pdf/1974/BOE-A-1974-289-consolidado.pdf" TargetMode="External"/><Relationship Id="rId31" Type="http://schemas.openxmlformats.org/officeDocument/2006/relationships/hyperlink" Target="http://www.gobiernodecanarias.org/boc/2002/095/001.html" TargetMode="External"/><Relationship Id="rId44" Type="http://schemas.openxmlformats.org/officeDocument/2006/relationships/hyperlink" Target="https://www.boe.es/buscar/pdf/2007/BOE-A-2007-18770-consolidado.pdf" TargetMode="External"/><Relationship Id="rId52" Type="http://schemas.openxmlformats.org/officeDocument/2006/relationships/hyperlink" Target="https://www.boe.es/buscar/doc.php?id=BOE-A-1994-2897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e.es/buscar/pdf/1978/BOE-A-1978-31229-consolidado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aAXb3t7JHw8RZa25gZ5CB2nLJw==">CgMxLjA4AHIhMWx4NEFVaGNYeFdMZ0tiVHNCbHEwbkhPRHg4bmpVUFQ5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1627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Elizabeth Rodríguez</cp:lastModifiedBy>
  <cp:revision>7</cp:revision>
  <dcterms:created xsi:type="dcterms:W3CDTF">2025-04-21T10:47:00Z</dcterms:created>
  <dcterms:modified xsi:type="dcterms:W3CDTF">2026-04-08T13:04:00Z</dcterms:modified>
  <dc:language>es-ES</dc:language>
</cp:coreProperties>
</file>