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center" w:pos="4157" w:leader="none"/>
          <w:tab w:val="center" w:pos="4252" w:leader="none"/>
          <w:tab w:val="right" w:pos="8504" w:leader="none"/>
        </w:tabs>
        <w:jc w:val="center"/>
        <w:rPr>
          <w:rFonts w:ascii="Helvetica Neue" w:hAnsi="Helvetica Neue" w:eastAsia="Helvetica Neue" w:cs="Helvetica Neue"/>
          <w:color w:val="000000"/>
          <w:sz w:val="12"/>
          <w:szCs w:val="12"/>
        </w:rPr>
      </w:pPr>
      <w:r>
        <w:rPr>
          <w:rFonts w:eastAsia="Helvetica Neue" w:cs="Helvetica Neue" w:ascii="Helvetica Neue" w:hAnsi="Helvetica Neue"/>
          <w:color w:val="000000"/>
          <w:sz w:val="12"/>
          <w:szCs w:val="12"/>
        </w:rPr>
      </w:r>
    </w:p>
    <w:p>
      <w:pPr>
        <w:pStyle w:val="Normal"/>
        <w:widowControl/>
        <w:spacing w:lineRule="auto" w:line="360" w:before="0" w:after="120"/>
        <w:rPr>
          <w:rFonts w:ascii="Arial" w:hAnsi="Arial" w:eastAsia="Arial" w:cs="Arial"/>
          <w:b/>
          <w:color w:val="000000"/>
        </w:rPr>
      </w:pPr>
      <w:r>
        <w:rPr>
          <w:rFonts w:eastAsia="Arial" w:cs="Arial" w:ascii="Arial" w:hAnsi="Arial"/>
          <w:b/>
          <w:color w:val="000000"/>
        </w:rPr>
        <w:t>Información general</w:t>
      </w:r>
    </w:p>
    <w:p>
      <w:pPr>
        <w:pStyle w:val="Normal"/>
        <w:widowControl/>
        <w:spacing w:lineRule="auto" w:line="360" w:before="0" w:after="120"/>
        <w:rPr/>
      </w:pPr>
      <w:r>
        <w:rPr>
          <w:rFonts w:eastAsia="Arial" w:cs="Arial" w:ascii="Arial" w:hAnsi="Arial"/>
          <w:b/>
          <w:bCs/>
          <w:color w:val="000000"/>
        </w:rPr>
        <w:t>Última actualización:</w:t>
      </w:r>
      <w:r>
        <w:rPr>
          <w:rFonts w:eastAsia="Arial" w:cs="Arial" w:ascii="Arial" w:hAnsi="Arial"/>
          <w:color w:val="000000"/>
        </w:rPr>
        <w:t> 2</w:t>
      </w:r>
      <w:r>
        <w:rPr>
          <w:rFonts w:eastAsia="Arial" w:cs="Arial" w:ascii="Arial" w:hAnsi="Arial"/>
          <w:color w:val="000000"/>
        </w:rPr>
        <w:t>3</w:t>
      </w:r>
      <w:r>
        <w:rPr>
          <w:rFonts w:eastAsia="Arial" w:cs="Arial" w:ascii="Arial" w:hAnsi="Arial"/>
          <w:color w:val="000000"/>
        </w:rPr>
        <w:t>/0</w:t>
      </w:r>
      <w:r>
        <w:rPr>
          <w:rFonts w:eastAsia="Arial" w:cs="Arial" w:ascii="Arial" w:hAnsi="Arial"/>
          <w:color w:val="000000"/>
        </w:rPr>
        <w:t>6</w:t>
      </w:r>
      <w:r>
        <w:rPr>
          <w:rFonts w:eastAsia="Arial" w:cs="Arial" w:ascii="Arial" w:hAnsi="Arial"/>
          <w:color w:val="000000"/>
        </w:rPr>
        <w:t>/2026</w:t>
      </w:r>
    </w:p>
    <w:p>
      <w:pPr>
        <w:pStyle w:val="Normal"/>
        <w:widowControl/>
        <w:spacing w:lineRule="auto" w:line="360" w:before="0" w:after="120"/>
        <w:rPr/>
      </w:pPr>
      <w:r>
        <w:rPr>
          <w:rFonts w:eastAsia="Arial" w:cs="Arial" w:ascii="Arial" w:hAnsi="Arial"/>
          <w:b/>
          <w:bCs/>
          <w:color w:val="000000"/>
        </w:rPr>
        <w:t>Historia COELP</w:t>
      </w:r>
    </w:p>
    <w:p>
      <w:pPr>
        <w:pStyle w:val="Normal"/>
        <w:widowControl/>
        <w:spacing w:lineRule="auto" w:line="360" w:before="0" w:after="120"/>
        <w:rPr/>
      </w:pPr>
      <w:r>
        <w:rPr>
          <w:rFonts w:eastAsia="Arial" w:cs="Arial" w:ascii="Arial" w:hAnsi="Arial"/>
          <w:color w:val="000000"/>
        </w:rPr>
        <w:t>El 19 de marzo de 2025 se han cumplido 100 años de un acontecimiento histórico de gran relevancia para el COELP y para la profesión odontológica, al celebrarse el centenario del nacimiento de los Colegios de Dentistas en España, establecido mediante la Real Orden de 14 de marzo de 1925, publicada el 19 de marzo en la Gaceta de Madrid, en la que se aprueba la creación de los Colegios Regionales Odontológicos.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color w:val="000000"/>
        </w:rPr>
        <w:t>El proceso hacia la colegiación obligatoria de los odontólogos en España fue largo y complejo, hasta que una cuarta Real Orden, promulgada el 27 de mayo de 1930, publicó los Estatutos de los Colegios Oficiales de Odontólogos y estableció definitivamente la colegiación obligatoria para los odontólogos en España. Ese mismo año, se creó el Consejo General de Colegios de Dentistas de España, el Órgano ejecutivo de la Organización Colegial de Dentistas.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color w:val="000000"/>
        </w:rPr>
        <w:t>En 1931 el Colegio Regional de Sevilla integra en su jurisdicción al Ilustre Colegio Oficial de Odontólogos de Canarias. En 1954, una orden del Ministerio de Gobernación creó el Colegio Oficial de Odontólogos y Estomatólogos de la 15ª Región, que abarcaba las provincias de Santa Cruz de Tenerife y Las Palmas. La sede de este colegio se estableció en Santa Cruz de Tenerife, y funcionó bajo esta denominación hasta 1996.</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color w:val="000000"/>
        </w:rPr>
        <w:t>En 1996, la Junta Provincial de Las Palmas se escindió del Colegio de la 15ª Región para formar un colegio independiente, dando lugar al actual Colegio Oficial de Dentistas de Las Palmas (COELP). Desde entonces, el COELP ha funcionado como una corporación de derecho público, con personalidad jurídica propia y plena capacidad para el cumplimiento de sus fines.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b/>
          <w:bCs/>
          <w:color w:val="000000"/>
        </w:rPr>
        <w:t>Naturaleza, misión y financiación del Colegio Oficial de Dentistas de Las Palmas</w:t>
      </w:r>
    </w:p>
    <w:p>
      <w:pPr>
        <w:pStyle w:val="Normal"/>
        <w:widowControl/>
        <w:spacing w:lineRule="auto" w:line="360" w:before="0" w:after="120"/>
        <w:rPr/>
      </w:pPr>
      <w:r>
        <w:rPr>
          <w:rFonts w:eastAsia="Arial" w:cs="Arial" w:ascii="Arial" w:hAnsi="Arial"/>
          <w:b/>
          <w:bCs/>
          <w:color w:val="000000"/>
        </w:rPr>
        <w:t>Naturaleza</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color w:val="000000"/>
        </w:rPr>
        <w:t xml:space="preserve">El Colegio Oficial de Dentistas de Las Palmas es una corporación de derecho público, constituida en la provincia de Las Palmas, amparada y reconocida por la Ley y por las Administraciones del Estado y de la Comunidad Autónoma de Canarias. </w:t>
      </w:r>
    </w:p>
    <w:p>
      <w:pPr>
        <w:pStyle w:val="Normal"/>
        <w:widowControl/>
        <w:spacing w:lineRule="auto" w:line="360" w:before="0" w:after="120"/>
        <w:rPr/>
      </w:pPr>
      <w:r>
        <w:rPr>
          <w:rFonts w:eastAsia="Arial" w:cs="Arial" w:ascii="Arial" w:hAnsi="Arial"/>
          <w:color w:val="000000"/>
        </w:rPr>
        <w:t>Posee personalidad jurídica propia, así como capacidad plena para el cumplimiento de sus fines.</w:t>
      </w:r>
    </w:p>
    <w:p>
      <w:pPr>
        <w:pStyle w:val="Normal"/>
        <w:widowControl/>
        <w:spacing w:lineRule="auto" w:line="360" w:before="0" w:after="120"/>
        <w:rPr/>
      </w:pPr>
      <w:r>
        <w:rPr>
          <w:rFonts w:eastAsia="Arial" w:cs="Arial" w:ascii="Arial" w:hAnsi="Arial"/>
          <w:color w:val="000000"/>
        </w:rPr>
        <w:t xml:space="preserve">La entidad se rige por sus propios </w:t>
      </w:r>
      <w:hyperlink r:id="rId2">
        <w:r>
          <w:rPr>
            <w:rStyle w:val="Hyperlink"/>
            <w:rFonts w:eastAsia="Arial" w:cs="Arial" w:ascii="Arial" w:hAnsi="Arial"/>
            <w:color w:val="000000"/>
          </w:rPr>
          <w:t>Estatutos</w:t>
        </w:r>
      </w:hyperlink>
      <w:r>
        <w:rPr>
          <w:rFonts w:eastAsia="Arial" w:cs="Arial" w:ascii="Arial" w:hAnsi="Arial"/>
          <w:color w:val="000000"/>
        </w:rPr>
        <w:t xml:space="preserve">, publicados en el </w:t>
      </w:r>
      <w:hyperlink r:id="rId3">
        <w:r>
          <w:rPr>
            <w:rStyle w:val="Hyperlink"/>
            <w:rFonts w:eastAsia="Arial" w:cs="Arial" w:ascii="Arial" w:hAnsi="Arial"/>
            <w:color w:val="000000"/>
          </w:rPr>
          <w:t>BOC nº 41 de 28 de febrero de 2022,</w:t>
        </w:r>
      </w:hyperlink>
      <w:r>
        <w:rPr>
          <w:rFonts w:eastAsia="Arial" w:cs="Arial" w:ascii="Arial" w:hAnsi="Arial"/>
          <w:color w:val="000000"/>
        </w:rPr>
        <w:t xml:space="preserve"> y agrupa a todos los dentistas que ejercen su profesión en la provincia de Las Palmas.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b/>
          <w:bCs/>
          <w:color w:val="000000"/>
        </w:rPr>
        <w:t>Misión</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color w:val="000000"/>
        </w:rPr>
        <w:t>La misión del Colegio se dirige a todos los ciudadanos y todos los dentistas de la provincia de Las Palmas, siendo sus fines los siguientes: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numPr>
          <w:ilvl w:val="0"/>
          <w:numId w:val="2"/>
        </w:numPr>
        <w:spacing w:lineRule="auto" w:line="360" w:before="0" w:after="120"/>
        <w:rPr/>
      </w:pPr>
      <w:r>
        <w:rPr>
          <w:rFonts w:eastAsia="Arial" w:cs="Arial" w:ascii="Arial" w:hAnsi="Arial"/>
          <w:color w:val="000000"/>
        </w:rPr>
        <w:t xml:space="preserve">La ordenación, en el ámbito de su competencia, de la profesión de dentista. </w:t>
      </w:r>
    </w:p>
    <w:p>
      <w:pPr>
        <w:pStyle w:val="Normal"/>
        <w:widowControl/>
        <w:numPr>
          <w:ilvl w:val="0"/>
          <w:numId w:val="2"/>
        </w:numPr>
        <w:spacing w:lineRule="auto" w:line="360" w:before="0" w:after="120"/>
        <w:rPr/>
      </w:pPr>
      <w:r>
        <w:rPr>
          <w:rFonts w:eastAsia="Arial" w:cs="Arial" w:ascii="Arial" w:hAnsi="Arial"/>
          <w:color w:val="000000"/>
        </w:rPr>
        <w:t xml:space="preserve">La ordenación, en el ámbito de su competencia, de la profesión sanitaria consistente en el ejercicio de las actividades de prevención, diagnóstico y tratamiento de los dientes, de la boca, de los maxilares y de los tejidos anejos. Y la representación exclusiva de la misma. </w:t>
      </w:r>
    </w:p>
    <w:p>
      <w:pPr>
        <w:pStyle w:val="Normal"/>
        <w:widowControl/>
        <w:numPr>
          <w:ilvl w:val="0"/>
          <w:numId w:val="3"/>
        </w:numPr>
        <w:spacing w:lineRule="auto" w:line="360" w:before="0" w:after="120"/>
        <w:rPr/>
      </w:pPr>
      <w:r>
        <w:rPr>
          <w:rFonts w:eastAsia="Arial" w:cs="Arial" w:ascii="Arial" w:hAnsi="Arial"/>
          <w:color w:val="000000"/>
        </w:rPr>
        <w:t xml:space="preserve">El dictado, salvaguarda y observancia de los principios deontológicos y éticos de tal práctica profesional. </w:t>
      </w:r>
    </w:p>
    <w:p>
      <w:pPr>
        <w:pStyle w:val="Normal"/>
        <w:widowControl/>
        <w:numPr>
          <w:ilvl w:val="0"/>
          <w:numId w:val="3"/>
        </w:numPr>
        <w:spacing w:lineRule="auto" w:line="360" w:before="0" w:after="120"/>
        <w:rPr/>
      </w:pPr>
      <w:r>
        <w:rPr>
          <w:rFonts w:eastAsia="Arial" w:cs="Arial" w:ascii="Arial" w:hAnsi="Arial"/>
          <w:color w:val="000000"/>
        </w:rPr>
        <w:t xml:space="preserve">La promoción permanente de los niveles científico, deontológico, social y cultural de sus colegiados. </w:t>
      </w:r>
    </w:p>
    <w:p>
      <w:pPr>
        <w:pStyle w:val="Normal"/>
        <w:widowControl/>
        <w:numPr>
          <w:ilvl w:val="0"/>
          <w:numId w:val="3"/>
        </w:numPr>
        <w:spacing w:lineRule="auto" w:line="360" w:before="0" w:after="120"/>
        <w:rPr/>
      </w:pPr>
      <w:r>
        <w:rPr>
          <w:rFonts w:eastAsia="Arial" w:cs="Arial" w:ascii="Arial" w:hAnsi="Arial"/>
          <w:color w:val="000000"/>
        </w:rPr>
        <w:t xml:space="preserve">La defensa de los intereses profesionales de estos. </w:t>
      </w:r>
    </w:p>
    <w:p>
      <w:pPr>
        <w:pStyle w:val="Normal"/>
        <w:widowControl/>
        <w:numPr>
          <w:ilvl w:val="0"/>
          <w:numId w:val="3"/>
        </w:numPr>
        <w:spacing w:lineRule="auto" w:line="360" w:before="0" w:after="120"/>
        <w:rPr/>
      </w:pPr>
      <w:r>
        <w:rPr>
          <w:rFonts w:eastAsia="Arial" w:cs="Arial" w:ascii="Arial" w:hAnsi="Arial"/>
          <w:color w:val="000000"/>
        </w:rPr>
        <w:t xml:space="preserve">La contribución a la consecución del derecho a la protección de la salud bucal y estomatognática de todos los residentes en la Las Palmas, y a la regulación justa y equitativa de su correspondiente asistencia sanitaria. </w:t>
      </w:r>
    </w:p>
    <w:p>
      <w:pPr>
        <w:pStyle w:val="Normal"/>
        <w:widowControl/>
        <w:numPr>
          <w:ilvl w:val="0"/>
          <w:numId w:val="3"/>
        </w:numPr>
        <w:spacing w:lineRule="auto" w:line="360" w:before="0" w:after="120"/>
        <w:rPr/>
      </w:pPr>
      <w:r>
        <w:rPr>
          <w:rFonts w:eastAsia="Arial" w:cs="Arial" w:ascii="Arial" w:hAnsi="Arial"/>
          <w:color w:val="000000"/>
        </w:rPr>
        <w:t xml:space="preserve">El asesoramiento a las autoridades, mediante la emisión de los informes técnicos y profesionales que les soliciten o se consideren convenientes desde la corporación. </w:t>
      </w:r>
    </w:p>
    <w:p>
      <w:pPr>
        <w:pStyle w:val="Normal"/>
        <w:widowControl/>
        <w:numPr>
          <w:ilvl w:val="0"/>
          <w:numId w:val="3"/>
        </w:numPr>
        <w:spacing w:lineRule="auto" w:line="360" w:before="0" w:after="120"/>
        <w:rPr/>
      </w:pPr>
      <w:r>
        <w:rPr>
          <w:rFonts w:eastAsia="Arial" w:cs="Arial" w:ascii="Arial" w:hAnsi="Arial"/>
          <w:color w:val="000000"/>
        </w:rPr>
        <w:t xml:space="preserve">Cualesquiera otros que pudieran redundar en beneficio de los ciudadanos y profesionales, de la mejora de las condiciones y valores de la práctica profesional. </w:t>
      </w:r>
    </w:p>
    <w:p>
      <w:pPr>
        <w:pStyle w:val="Normal"/>
        <w:widowControl/>
        <w:numPr>
          <w:ilvl w:val="0"/>
          <w:numId w:val="3"/>
        </w:numPr>
        <w:spacing w:lineRule="auto" w:line="360" w:before="0" w:after="120"/>
        <w:rPr/>
      </w:pPr>
      <w:r>
        <w:rPr>
          <w:rFonts w:eastAsia="Arial" w:cs="Arial" w:ascii="Arial" w:hAnsi="Arial"/>
          <w:color w:val="000000"/>
        </w:rPr>
        <w:t xml:space="preserve">La protección de los intereses de los consumidores y usuarios de los servicios de los colegiados. </w:t>
      </w:r>
    </w:p>
    <w:p>
      <w:pPr>
        <w:pStyle w:val="Normal"/>
        <w:widowControl/>
        <w:spacing w:lineRule="auto" w:line="360" w:before="0" w:after="120"/>
        <w:rPr/>
      </w:pPr>
      <w:r>
        <w:rPr>
          <w:rFonts w:eastAsia="Arial" w:cs="Arial" w:ascii="Arial" w:hAnsi="Arial"/>
          <w:color w:val="000000"/>
        </w:rPr>
        <w:t>Consciente del alcance de su responsabilidad, la Junta de Gobierno vuelca sus esfuerzos en la búsqueda de soluciones a los grandes problemas y desafíos de la profesión, en el apoyo a la labor diaria de los dentistas y en garantizar el carácter sanitario de una Odontología ética y de calidad donde prime la salud bucodental de los pacientes.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b/>
          <w:bCs/>
          <w:color w:val="000000"/>
        </w:rPr>
      </w:pPr>
      <w:r>
        <w:rPr>
          <w:rFonts w:eastAsia="Arial" w:cs="Arial" w:ascii="Arial" w:hAnsi="Arial"/>
          <w:b/>
          <w:bCs/>
          <w:color w:val="000000"/>
        </w:rPr>
        <w:t>Información económica</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t>A 31 de diciembre de 2025, la entidad disponía de un patrimonio neto de 1.027.983,64 € integrado por el fondo social, las reservas y el resultado del ejercicio.</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pPr>
      <w:r>
        <w:rPr>
          <w:rFonts w:eastAsia="Arial" w:cs="Arial" w:ascii="Arial" w:hAnsi="Arial"/>
          <w:b/>
          <w:bCs/>
          <w:color w:val="000000"/>
        </w:rPr>
        <w:t>Financiación de la entidad</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t>Sin perjuicio de la existencia de otras fuentes de ingreso, la financiación del Colegio Oficial de Dentistas de Las Palmas procede de sus colegiados mediante las cuotas y cargas colegiales, ordinarias y extraordinarias, en la cuantía y modo que el Colegio establezca para el cumplimiento de sus funciones.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t>Colegiados</w:t>
      </w:r>
    </w:p>
    <w:p>
      <w:pPr>
        <w:pStyle w:val="Normal"/>
        <w:widowControl/>
        <w:spacing w:lineRule="auto" w:line="360" w:before="0" w:after="120"/>
        <w:rPr>
          <w:rFonts w:ascii="Arial" w:hAnsi="Arial" w:eastAsia="Arial" w:cs="Arial"/>
          <w:color w:val="000000"/>
        </w:rPr>
      </w:pPr>
      <w:r>
        <w:rPr>
          <w:rFonts w:eastAsia="Arial" w:cs="Arial" w:ascii="Arial" w:hAnsi="Arial"/>
          <w:color w:val="000000"/>
        </w:rPr>
        <w:t>Cuota de ingreso: 50 € al iniciar el trámite de colegiación.</w:t>
      </w:r>
    </w:p>
    <w:p>
      <w:pPr>
        <w:pStyle w:val="Normal"/>
        <w:widowControl/>
        <w:spacing w:lineRule="auto" w:line="360" w:before="0" w:after="120"/>
        <w:rPr>
          <w:rFonts w:ascii="Arial" w:hAnsi="Arial" w:eastAsia="Arial" w:cs="Arial"/>
          <w:color w:val="000000"/>
        </w:rPr>
      </w:pPr>
      <w:r>
        <w:rPr>
          <w:rFonts w:eastAsia="Arial" w:cs="Arial" w:ascii="Arial" w:hAnsi="Arial"/>
          <w:color w:val="000000"/>
        </w:rPr>
        <w:t>Cuota ordinaria colegiado con ejercicio: 55 € mensuales.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t>Cuota ordinaria colegiado sin ejercicio: 10 € mensuales.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t xml:space="preserve">Bonificación 100% de la cuota ordinaria para jubilados no ejercientes. </w:t>
      </w:r>
    </w:p>
    <w:p>
      <w:pPr>
        <w:pStyle w:val="Normal"/>
        <w:widowControl/>
        <w:spacing w:lineRule="auto" w:line="360" w:before="0" w:after="120"/>
        <w:rPr>
          <w:rFonts w:ascii="Arial" w:hAnsi="Arial" w:eastAsia="Arial" w:cs="Arial"/>
          <w:color w:val="000000"/>
        </w:rPr>
      </w:pPr>
      <w:r>
        <w:rPr>
          <w:rFonts w:eastAsia="Arial" w:cs="Arial" w:ascii="Arial" w:hAnsi="Arial"/>
          <w:color w:val="000000"/>
        </w:rPr>
      </w:r>
    </w:p>
    <w:p>
      <w:pPr>
        <w:pStyle w:val="Normal"/>
        <w:widowControl/>
        <w:spacing w:lineRule="auto" w:line="360" w:before="0" w:after="120"/>
        <w:rPr>
          <w:rFonts w:ascii="Arial" w:hAnsi="Arial" w:eastAsia="Arial" w:cs="Arial"/>
          <w:color w:val="000000"/>
        </w:rPr>
      </w:pPr>
      <w:r>
        <w:rPr>
          <w:rFonts w:eastAsia="Arial" w:cs="Arial" w:ascii="Arial" w:hAnsi="Arial"/>
          <w:color w:val="000000"/>
        </w:rPr>
        <w:t>Sociedades Profesionales</w:t>
      </w:r>
    </w:p>
    <w:p>
      <w:pPr>
        <w:pStyle w:val="Normal"/>
        <w:widowControl/>
        <w:spacing w:lineRule="auto" w:line="360" w:before="0" w:after="120"/>
        <w:rPr>
          <w:rFonts w:ascii="Arial" w:hAnsi="Arial" w:eastAsia="Arial" w:cs="Arial"/>
          <w:color w:val="000000"/>
        </w:rPr>
      </w:pPr>
      <w:r>
        <w:rPr>
          <w:rFonts w:eastAsia="Arial" w:cs="Arial" w:ascii="Arial" w:hAnsi="Arial"/>
          <w:color w:val="000000"/>
        </w:rPr>
        <w:t>Cuota de inscripción de la Sociedad Profesional: 50 € al iniciar el trámite de inscripción.</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1134" w:top="1686" w:footer="1134" w:bottom="1427"/>
      <w:pgNumType w:start="1"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ambria">
    <w:charset w:val="00" w:characterSet="windows-1252"/>
    <w:family w:val="roman"/>
    <w:pitch w:val="variable"/>
  </w:font>
  <w:font w:name="Symbol">
    <w:charset w:val="00" w:characterSet="windows-1252"/>
    <w:family w:val="roman"/>
    <w:pitch w:val="variable"/>
  </w:font>
  <w:font w:name="Courier New">
    <w:charset w:val="00" w:characterSet="windows-1252"/>
    <w:family w:val="swiss"/>
    <w:pitch w:val="variable"/>
  </w:font>
  <w:font w:name="Wingdings">
    <w:charset w:val="00" w:characterSet="windows-1252"/>
    <w:family w:val="swiss"/>
    <w:pitch w:val="variable"/>
  </w:font>
  <w:font w:name="OpenSymbol">
    <w:altName w:val="Arial Unicode MS"/>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font>
  <w:font w:name="Helvetica Neue">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center" w:pos="4550" w:leader="none"/>
        <w:tab w:val="left" w:pos="5818" w:leader="none"/>
        <w:tab w:val="right" w:pos="8504" w:leader="none"/>
      </w:tabs>
      <w:spacing w:lineRule="auto" w:line="240" w:before="0" w:after="200"/>
      <w:ind w:end="260"/>
      <w:jc w:val="end"/>
      <w:rPr/>
    </w:pPr>
    <w:r>
      <w:rPr>
        <w:color w:val="548DD4"/>
        <w:sz w:val="24"/>
        <w:szCs w:val="24"/>
      </w:rPr>
      <w:t xml:space="preserve">Página </w:t>
    </w:r>
    <w:r>
      <w:rPr/>
      <w:fldChar w:fldCharType="begin"/>
    </w:r>
    <w:r>
      <w:rPr/>
      <w:instrText xml:space="preserve"> PAGE </w:instrText>
    </w:r>
    <w:r>
      <w:rPr/>
      <w:fldChar w:fldCharType="separate"/>
    </w:r>
    <w:r>
      <w:rPr/>
      <w:t>3</w:t>
    </w:r>
    <w:r>
      <w:rPr/>
      <w:fldChar w:fldCharType="end"/>
    </w:r>
    <w:r>
      <w:rPr>
        <w:color w:val="17365D"/>
        <w:sz w:val="24"/>
        <w:szCs w:val="24"/>
      </w:rPr>
      <w:t xml:space="preserve"> | </w:t>
    </w:r>
    <w:r>
      <w:rPr/>
      <w:fldChar w:fldCharType="begin"/>
    </w:r>
    <w:r>
      <w:rPr/>
      <w:instrText xml:space="preserve"> NUMPAGES </w:instrText>
    </w:r>
    <w:r>
      <w:rPr/>
      <w:fldChar w:fldCharType="separate"/>
    </w:r>
    <w:r>
      <w:rPr/>
      <w:t>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center" w:pos="4550" w:leader="none"/>
        <w:tab w:val="left" w:pos="5818" w:leader="none"/>
        <w:tab w:val="right" w:pos="8504" w:leader="none"/>
      </w:tabs>
      <w:spacing w:lineRule="auto" w:line="240" w:before="0" w:after="200"/>
      <w:ind w:end="260"/>
      <w:jc w:val="end"/>
      <w:rPr/>
    </w:pPr>
    <w:r>
      <w:rPr>
        <w:color w:val="548DD4"/>
        <w:sz w:val="24"/>
        <w:szCs w:val="24"/>
      </w:rPr>
      <w:t xml:space="preserve">Página </w:t>
    </w:r>
    <w:r>
      <w:rPr/>
      <w:fldChar w:fldCharType="begin"/>
    </w:r>
    <w:r>
      <w:rPr/>
      <w:instrText xml:space="preserve"> PAGE </w:instrText>
    </w:r>
    <w:r>
      <w:rPr/>
      <w:fldChar w:fldCharType="separate"/>
    </w:r>
    <w:r>
      <w:rPr/>
      <w:t>3</w:t>
    </w:r>
    <w:r>
      <w:rPr/>
      <w:fldChar w:fldCharType="end"/>
    </w:r>
    <w:r>
      <w:rPr>
        <w:color w:val="17365D"/>
        <w:sz w:val="24"/>
        <w:szCs w:val="24"/>
      </w:rPr>
      <w:t xml:space="preserve"> | </w:t>
    </w:r>
    <w:r>
      <w:rPr/>
      <w:fldChar w:fldCharType="begin"/>
    </w:r>
    <w:r>
      <w:rPr/>
      <w:instrText xml:space="preserve"> NUMPAGES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972" w:leader="none"/>
        <w:tab w:val="right" w:pos="9224" w:leader="none"/>
      </w:tabs>
      <w:spacing w:lineRule="auto" w:line="360" w:before="0" w:after="120"/>
      <w:ind w:hanging="360" w:start="720"/>
      <w:jc w:val="center"/>
      <w:rPr/>
    </w:pPr>
    <w:r>
      <w:rPr/>
      <w:drawing>
        <wp:inline distT="0" distB="0" distL="0" distR="0">
          <wp:extent cx="1951990" cy="102933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1951990" cy="102933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972" w:leader="none"/>
        <w:tab w:val="right" w:pos="9224" w:leader="none"/>
      </w:tabs>
      <w:spacing w:lineRule="auto" w:line="360" w:before="0" w:after="120"/>
      <w:ind w:hanging="360" w:start="720"/>
      <w:jc w:val="center"/>
      <w:rPr/>
    </w:pPr>
    <w:r>
      <w:rPr/>
      <w:drawing>
        <wp:inline distT="0" distB="0" distL="0" distR="0">
          <wp:extent cx="1951990" cy="102933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1951990" cy="102933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s-E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lineRule="auto" w:line="276" w:before="0" w:after="200"/>
      <w:jc w:val="start"/>
    </w:pPr>
    <w:rPr>
      <w:rFonts w:ascii="Calibri" w:hAnsi="Calibri" w:eastAsia="Calibri" w:cs="Calibri"/>
      <w:color w:val="auto"/>
      <w:kern w:val="0"/>
      <w:sz w:val="22"/>
      <w:szCs w:val="22"/>
      <w:lang w:val="es-ES" w:eastAsia="zh-CN" w:bidi="hi-IN"/>
    </w:rPr>
  </w:style>
  <w:style w:type="paragraph" w:styleId="Heading1" w:customStyle="1">
    <w:name w:val="heading 1"/>
    <w:basedOn w:val="Normal1"/>
    <w:next w:val="Normal"/>
    <w:qFormat/>
    <w:pPr>
      <w:keepNext w:val="true"/>
      <w:keepLines/>
      <w:numPr>
        <w:ilvl w:val="0"/>
        <w:numId w:val="1"/>
      </w:numPr>
      <w:spacing w:before="240" w:after="120"/>
      <w:ind w:hanging="432" w:start="432"/>
      <w:outlineLvl w:val="0"/>
    </w:pPr>
    <w:rPr>
      <w:rFonts w:ascii="Cambria" w:hAnsi="Cambria" w:eastAsia="Cambria" w:cs="Cambria"/>
      <w:color w:val="365F91"/>
      <w:sz w:val="32"/>
      <w:szCs w:val="32"/>
    </w:rPr>
  </w:style>
  <w:style w:type="paragraph" w:styleId="Heading2" w:customStyle="1">
    <w:name w:val="heading 2"/>
    <w:basedOn w:val="Normal1"/>
    <w:next w:val="Normal"/>
    <w:qFormat/>
    <w:pPr>
      <w:keepNext w:val="true"/>
      <w:keepLines/>
      <w:numPr>
        <w:ilvl w:val="1"/>
        <w:numId w:val="1"/>
      </w:numPr>
      <w:spacing w:before="40" w:after="120"/>
      <w:ind w:hanging="576" w:start="576"/>
      <w:outlineLvl w:val="1"/>
    </w:pPr>
    <w:rPr>
      <w:rFonts w:ascii="Cambria" w:hAnsi="Cambria" w:eastAsia="Cambria" w:cs="Cambria"/>
      <w:color w:val="365F91"/>
      <w:sz w:val="26"/>
      <w:szCs w:val="26"/>
    </w:rPr>
  </w:style>
  <w:style w:type="paragraph" w:styleId="Heading3" w:customStyle="1">
    <w:name w:val="heading 3"/>
    <w:basedOn w:val="Normal1"/>
    <w:next w:val="Normal"/>
    <w:qFormat/>
    <w:pPr>
      <w:keepNext w:val="true"/>
      <w:keepLines/>
      <w:numPr>
        <w:ilvl w:val="2"/>
        <w:numId w:val="1"/>
      </w:numPr>
      <w:spacing w:before="40" w:after="120"/>
      <w:ind w:hanging="720" w:start="720"/>
      <w:outlineLvl w:val="2"/>
    </w:pPr>
    <w:rPr>
      <w:rFonts w:ascii="Cambria" w:hAnsi="Cambria" w:eastAsia="Cambria" w:cs="Cambria"/>
      <w:color w:val="243F60"/>
      <w:sz w:val="24"/>
      <w:szCs w:val="24"/>
    </w:rPr>
  </w:style>
  <w:style w:type="paragraph" w:styleId="Heading4" w:customStyle="1">
    <w:name w:val="heading 4"/>
    <w:basedOn w:val="Normal1"/>
    <w:next w:val="Normal"/>
    <w:qFormat/>
    <w:pPr>
      <w:keepNext w:val="true"/>
      <w:keepLines/>
      <w:numPr>
        <w:ilvl w:val="3"/>
        <w:numId w:val="1"/>
      </w:numPr>
      <w:spacing w:before="200" w:after="120"/>
      <w:ind w:hanging="864" w:start="864"/>
      <w:outlineLvl w:val="3"/>
    </w:pPr>
    <w:rPr>
      <w:rFonts w:ascii="Cambria" w:hAnsi="Cambria" w:eastAsia="Cambria" w:cs="Cambria"/>
      <w:b/>
      <w:i/>
      <w:color w:val="4F81BD"/>
    </w:rPr>
  </w:style>
  <w:style w:type="paragraph" w:styleId="Heading5" w:customStyle="1">
    <w:name w:val="heading 5"/>
    <w:basedOn w:val="Normal1"/>
    <w:next w:val="Normal"/>
    <w:qFormat/>
    <w:pPr>
      <w:keepNext w:val="true"/>
      <w:keepLines/>
      <w:numPr>
        <w:ilvl w:val="4"/>
        <w:numId w:val="1"/>
      </w:numPr>
      <w:spacing w:before="220" w:after="40"/>
      <w:outlineLvl w:val="4"/>
    </w:pPr>
    <w:rPr>
      <w:b/>
    </w:rPr>
  </w:style>
  <w:style w:type="paragraph" w:styleId="Heading6" w:customStyle="1">
    <w:name w:val="heading 6"/>
    <w:basedOn w:val="Normal1"/>
    <w:next w:val="Normal"/>
    <w:qFormat/>
    <w:pPr>
      <w:keepNext w:val="true"/>
      <w:keepLines/>
      <w:numPr>
        <w:ilvl w:val="5"/>
        <w:numId w:val="1"/>
      </w:numPr>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WWCharLFO2LVL1" w:customStyle="1">
    <w:name w:val="WW_CharLFO2LVL1"/>
    <w:qFormat/>
    <w:rPr>
      <w:rFonts w:ascii="Symbol" w:hAnsi="Symbol"/>
    </w:rPr>
  </w:style>
  <w:style w:type="character" w:styleId="WWCharLFO2LVL2" w:customStyle="1">
    <w:name w:val="WW_CharLFO2LVL2"/>
    <w:qFormat/>
    <w:rPr>
      <w:rFonts w:ascii="Courier New" w:hAnsi="Courier New" w:cs="Courier New"/>
    </w:rPr>
  </w:style>
  <w:style w:type="character" w:styleId="WWCharLFO2LVL3" w:customStyle="1">
    <w:name w:val="WW_CharLFO2LVL3"/>
    <w:qFormat/>
    <w:rPr>
      <w:rFonts w:ascii="Wingdings" w:hAnsi="Wingdings"/>
    </w:rPr>
  </w:style>
  <w:style w:type="character" w:styleId="WWCharLFO2LVL4" w:customStyle="1">
    <w:name w:val="WW_CharLFO2LVL4"/>
    <w:qFormat/>
    <w:rPr>
      <w:rFonts w:ascii="Symbol" w:hAnsi="Symbol"/>
    </w:rPr>
  </w:style>
  <w:style w:type="character" w:styleId="WWCharLFO2LVL5" w:customStyle="1">
    <w:name w:val="WW_CharLFO2LVL5"/>
    <w:qFormat/>
    <w:rPr>
      <w:rFonts w:ascii="Courier New" w:hAnsi="Courier New" w:cs="Courier New"/>
    </w:rPr>
  </w:style>
  <w:style w:type="character" w:styleId="WWCharLFO2LVL6" w:customStyle="1">
    <w:name w:val="WW_CharLFO2LVL6"/>
    <w:qFormat/>
    <w:rPr>
      <w:rFonts w:ascii="Wingdings" w:hAnsi="Wingdings"/>
    </w:rPr>
  </w:style>
  <w:style w:type="character" w:styleId="WWCharLFO2LVL7" w:customStyle="1">
    <w:name w:val="WW_CharLFO2LVL7"/>
    <w:qFormat/>
    <w:rPr>
      <w:rFonts w:ascii="Symbol" w:hAnsi="Symbol"/>
    </w:rPr>
  </w:style>
  <w:style w:type="character" w:styleId="WWCharLFO2LVL8" w:customStyle="1">
    <w:name w:val="WW_CharLFO2LVL8"/>
    <w:qFormat/>
    <w:rPr>
      <w:rFonts w:ascii="Courier New" w:hAnsi="Courier New" w:cs="Courier New"/>
    </w:rPr>
  </w:style>
  <w:style w:type="character" w:styleId="WWCharLFO2LVL9" w:customStyle="1">
    <w:name w:val="WW_CharLFO2LVL9"/>
    <w:qFormat/>
    <w:rPr>
      <w:rFonts w:ascii="Wingdings" w:hAnsi="Wingdings"/>
    </w:rPr>
  </w:style>
  <w:style w:type="character" w:styleId="Strong">
    <w:name w:val="Strong"/>
    <w:qFormat/>
    <w:rPr>
      <w:b/>
      <w:bCs/>
    </w:rPr>
  </w:style>
  <w:style w:type="character" w:styleId="Bolosuser" w:customStyle="1">
    <w:name w:val="Bolos (user)"/>
    <w:qFormat/>
    <w:rPr>
      <w:rFonts w:ascii="OpenSymbol" w:hAnsi="OpenSymbol" w:eastAsia="OpenSymbol" w:cs="OpenSymbol"/>
    </w:rPr>
  </w:style>
  <w:style w:type="paragraph" w:styleId="Ttulo" w:customStyle="1">
    <w:name w:val="Título"/>
    <w:basedOn w:val="Normal1"/>
    <w:next w:val="Normal"/>
    <w:qFormat/>
    <w:pPr>
      <w:keepNext w:val="true"/>
      <w:keepLines/>
      <w:spacing w:before="480" w:after="120"/>
    </w:pPr>
    <w:rPr>
      <w:b/>
      <w:sz w:val="72"/>
      <w:szCs w:val="72"/>
    </w:rPr>
  </w:style>
  <w:style w:type="paragraph" w:styleId="BodyText">
    <w:name w:val="Body Text"/>
    <w:basedOn w:val="Normal"/>
    <w:pPr>
      <w:spacing w:before="0" w:after="140"/>
    </w:pPr>
    <w:rPr/>
  </w:style>
  <w:style w:type="paragraph" w:styleId="List" w:customStyle="1">
    <w:name w:val="List"/>
    <w:basedOn w:val="BodyText"/>
    <w:qFormat/>
    <w:pPr/>
    <w:rPr>
      <w:sz w:val="24"/>
    </w:rPr>
  </w:style>
  <w:style w:type="paragraph" w:styleId="Caption">
    <w:name w:val="caption"/>
    <w:basedOn w:val="Normal"/>
    <w:qFormat/>
    <w:pPr>
      <w:suppressLineNumbers/>
      <w:spacing w:before="120" w:after="120"/>
    </w:pPr>
    <w:rPr>
      <w:i/>
      <w:iCs/>
      <w:sz w:val="24"/>
      <w:szCs w:val="24"/>
    </w:rPr>
  </w:style>
  <w:style w:type="paragraph" w:styleId="ndice">
    <w:name w:val="Índice"/>
    <w:basedOn w:val="Normal"/>
    <w:qFormat/>
    <w:pPr>
      <w:suppressLineNumbers/>
    </w:pPr>
    <w:rPr>
      <w:rFonts w:cs="Arial"/>
    </w:rPr>
  </w:style>
  <w:style w:type="paragraph" w:styleId="Normal1" w:customStyle="1">
    <w:name w:val="Normal1"/>
    <w:qFormat/>
    <w:pPr>
      <w:widowControl/>
      <w:suppressAutoHyphens w:val="true"/>
      <w:bidi w:val="0"/>
      <w:spacing w:before="0" w:after="0"/>
      <w:jc w:val="start"/>
    </w:pPr>
    <w:rPr>
      <w:rFonts w:ascii="Calibri" w:hAnsi="Calibri" w:eastAsia="Calibri" w:cs="Calibri"/>
      <w:color w:val="auto"/>
      <w:kern w:val="0"/>
      <w:sz w:val="22"/>
      <w:szCs w:val="22"/>
      <w:lang w:val="es-ES" w:eastAsia="zh-CN" w:bidi="hi-IN"/>
    </w:rPr>
  </w:style>
  <w:style w:type="paragraph" w:styleId="Title">
    <w:name w:val="Title"/>
    <w:basedOn w:val="Normal"/>
    <w:next w:val="BodyText"/>
    <w:uiPriority w:val="10"/>
    <w:qFormat/>
    <w:pPr>
      <w:keepNext w:val="true"/>
      <w:spacing w:before="240" w:after="120"/>
    </w:pPr>
    <w:rPr>
      <w:rFonts w:ascii="Liberation Sans" w:hAnsi="Liberation Sans" w:eastAsia="Linux Libertine G" w:cs="Linux Libertine G"/>
      <w:sz w:val="28"/>
      <w:szCs w:val="28"/>
    </w:rPr>
  </w:style>
  <w:style w:type="paragraph" w:styleId="ndiceuser" w:customStyle="1">
    <w:name w:val="Índice (user)"/>
    <w:basedOn w:val="Normal"/>
    <w:qFormat/>
    <w:pPr>
      <w:suppressLineNumbers/>
    </w:pPr>
    <w:rPr>
      <w:sz w:val="24"/>
    </w:rPr>
  </w:style>
  <w:style w:type="paragraph" w:styleId="Subtitle" w:customStyle="1">
    <w:name w:val="Subtitle"/>
    <w:basedOn w:val="Normal1"/>
    <w:next w:val="Normal"/>
    <w:qFormat/>
    <w:pPr>
      <w:keepNext w:val="true"/>
      <w:keepLines/>
      <w:spacing w:before="360" w:after="80"/>
    </w:pPr>
    <w:rPr>
      <w:rFonts w:ascii="Georgia" w:hAnsi="Georgia" w:eastAsia="Georgia" w:cs="Georgia"/>
      <w:i/>
      <w:color w:val="666666"/>
      <w:sz w:val="48"/>
      <w:szCs w:val="48"/>
    </w:rPr>
  </w:style>
  <w:style w:type="paragraph" w:styleId="Cabeceraypieuser" w:customStyle="1">
    <w:name w:val="Cabecera y pie (user)"/>
    <w:basedOn w:val="Normal"/>
    <w:qFormat/>
    <w:pPr>
      <w:suppressLineNumbers/>
      <w:tabs>
        <w:tab w:val="clear" w:pos="720"/>
        <w:tab w:val="center" w:pos="4819" w:leader="none"/>
        <w:tab w:val="right" w:pos="9638" w:leader="none"/>
      </w:tabs>
    </w:pPr>
    <w:rPr/>
  </w:style>
  <w:style w:type="paragraph" w:styleId="Cabeceraypie">
    <w:name w:val="Cabecera y pie"/>
    <w:basedOn w:val="Normal"/>
    <w:qFormat/>
    <w:pPr/>
    <w:rPr/>
  </w:style>
  <w:style w:type="paragraph" w:styleId="Header">
    <w:name w:val="header"/>
    <w:basedOn w:val="Cabeceraypieuser"/>
    <w:pPr/>
    <w:rPr/>
  </w:style>
  <w:style w:type="paragraph" w:styleId="Footer" w:customStyle="1">
    <w:name w:val="footer"/>
    <w:basedOn w:val="Cabeceraypieuser"/>
    <w:qFormat/>
    <w:pPr/>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elp.es/el-colegio/estatutos/" TargetMode="External"/><Relationship Id="rId3" Type="http://schemas.openxmlformats.org/officeDocument/2006/relationships/hyperlink" Target="https://www.gobiernodecanarias.org/boc/2022/041/022.html"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LibreOffice/25.8.7.3$Windows_X86_64 LibreOffice_project/30742500f2d3eb4366ac312fa33d3dcabdb3eba5</Application>
  <AppVersion>15.0000</AppVersion>
  <Pages>4</Pages>
  <Words>810</Words>
  <Characters>4186</Characters>
  <CharactersWithSpaces>4962</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2025-04-21T10:27:00Z</dcterms:created>
  <dc:creator/>
  <dc:description/>
  <dc:language>es-ES</dc:language>
  <cp:lastModifiedBy/>
  <dcterms:modified xsi:type="dcterms:W3CDTF">2026-06-23T09:27:42Z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