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2114550" cy="685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Ayudas y subvenciones</w:t>
      </w:r>
    </w:p>
    <w:p w:rsidR="00000000" w:rsidDel="00000000" w:rsidP="00000000" w:rsidRDefault="00000000" w:rsidRPr="00000000" w14:paraId="00000004">
      <w:pPr>
        <w:shd w:fill="ffffff" w:val="clear"/>
        <w:spacing w:after="220" w:lineRule="auto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Fecha de actualización: 22 de febrero de 2024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han sido tramitadas ayudas o subvenciones en el periodo comprendido entre el 01/01/2022 y el 30/06/2023.</w:t>
      </w:r>
    </w:p>
    <w:p w:rsidR="00000000" w:rsidDel="00000000" w:rsidP="00000000" w:rsidRDefault="00000000" w:rsidRPr="00000000" w14:paraId="00000007">
      <w:pPr>
        <w:shd w:fill="ffffff" w:val="clear"/>
        <w:spacing w:before="2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6sBH1v5crhxcY+zLjhychy9g2A==">CgMxLjA4AHIhMV9OTnUzS3NzS1FSU0V4UXJEY0VaWjF0a18xTkQ5M0Vp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